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38099" w14:textId="089AD80C" w:rsidR="000A20EE" w:rsidRDefault="00A24322" w:rsidP="00C73387">
      <w:pPr>
        <w:spacing w:line="240" w:lineRule="auto"/>
        <w:jc w:val="left"/>
        <w:rPr>
          <w:rFonts w:ascii="Times New Roman" w:hAnsi="Times New Roman" w:cs="Times New Roman"/>
          <w:szCs w:val="21"/>
          <w:shd w:val="clear" w:color="auto" w:fill="FFFFFF"/>
        </w:rPr>
      </w:pPr>
      <w:bookmarkStart w:id="0" w:name="_GoBack"/>
      <w:r>
        <w:rPr>
          <w:rFonts w:ascii="Times New Roman" w:hAnsi="Times New Roman" w:cs="Times New Roman"/>
          <w:szCs w:val="21"/>
          <w:shd w:val="clear" w:color="auto" w:fill="FFFFFF"/>
        </w:rPr>
        <w:t>G</w:t>
      </w:r>
      <w:r w:rsidR="000A20EE">
        <w:rPr>
          <w:rFonts w:ascii="Times New Roman" w:hAnsi="Times New Roman" w:cs="Times New Roman"/>
          <w:szCs w:val="21"/>
          <w:shd w:val="clear" w:color="auto" w:fill="FFFFFF"/>
        </w:rPr>
        <w:t xml:space="preserve">randes Obras de (sub)Desarrollo </w:t>
      </w:r>
      <w:r w:rsidR="00A90E1E">
        <w:rPr>
          <w:rFonts w:ascii="Times New Roman" w:hAnsi="Times New Roman" w:cs="Times New Roman"/>
          <w:szCs w:val="21"/>
          <w:shd w:val="clear" w:color="auto" w:fill="FFFFFF"/>
        </w:rPr>
        <w:t>y la necesidad de una actuación social multidireccional</w:t>
      </w:r>
    </w:p>
    <w:p w14:paraId="59E03CBA" w14:textId="5ED5C7A8" w:rsidR="00CA6C17" w:rsidRPr="00CA6C17" w:rsidRDefault="00860CF4" w:rsidP="00C73387">
      <w:pPr>
        <w:spacing w:line="240" w:lineRule="auto"/>
        <w:jc w:val="left"/>
        <w:rPr>
          <w:rFonts w:ascii="Times New Roman" w:hAnsi="Times New Roman" w:cs="Times New Roman"/>
          <w:b/>
          <w:szCs w:val="21"/>
          <w:shd w:val="clear" w:color="auto" w:fill="FFFFFF"/>
        </w:rPr>
      </w:pPr>
      <w:r>
        <w:rPr>
          <w:rFonts w:ascii="Times New Roman" w:hAnsi="Times New Roman" w:cs="Times New Roman"/>
          <w:b/>
          <w:szCs w:val="21"/>
          <w:shd w:val="clear" w:color="auto" w:fill="FFFFFF"/>
        </w:rPr>
        <w:t xml:space="preserve">1) </w:t>
      </w:r>
      <w:r w:rsidR="00CA6C17" w:rsidRPr="00CA6C17">
        <w:rPr>
          <w:rFonts w:ascii="Times New Roman" w:hAnsi="Times New Roman" w:cs="Times New Roman"/>
          <w:b/>
          <w:szCs w:val="21"/>
          <w:shd w:val="clear" w:color="auto" w:fill="FFFFFF"/>
        </w:rPr>
        <w:t>Iniciando el círculo del desarrollo</w:t>
      </w:r>
    </w:p>
    <w:p w14:paraId="7DEAE597" w14:textId="6756234D" w:rsidR="00BB7C9A" w:rsidRDefault="00BB7C9A"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El trabajo que se presenta surge como análisis documental de las Grandes Obras de Desarrollo</w:t>
      </w:r>
      <w:r w:rsidR="00CB005A">
        <w:rPr>
          <w:rFonts w:ascii="Times New Roman" w:hAnsi="Times New Roman" w:cs="Times New Roman"/>
          <w:szCs w:val="21"/>
          <w:shd w:val="clear" w:color="auto" w:fill="FFFFFF"/>
        </w:rPr>
        <w:t xml:space="preserve"> por represas hidroeléctricas</w:t>
      </w:r>
      <w:r>
        <w:rPr>
          <w:rFonts w:ascii="Times New Roman" w:hAnsi="Times New Roman" w:cs="Times New Roman"/>
          <w:szCs w:val="21"/>
          <w:shd w:val="clear" w:color="auto" w:fill="FFFFFF"/>
        </w:rPr>
        <w:t xml:space="preserve"> compiladas por María Rosa </w:t>
      </w:r>
      <w:proofErr w:type="spellStart"/>
      <w:r>
        <w:rPr>
          <w:rFonts w:ascii="Times New Roman" w:hAnsi="Times New Roman" w:cs="Times New Roman"/>
          <w:szCs w:val="21"/>
          <w:shd w:val="clear" w:color="auto" w:fill="FFFFFF"/>
        </w:rPr>
        <w:t>Catullo</w:t>
      </w:r>
      <w:proofErr w:type="spellEnd"/>
      <w:r>
        <w:rPr>
          <w:rFonts w:ascii="Times New Roman" w:hAnsi="Times New Roman" w:cs="Times New Roman"/>
          <w:szCs w:val="21"/>
          <w:shd w:val="clear" w:color="auto" w:fill="FFFFFF"/>
        </w:rPr>
        <w:t xml:space="preserve"> y Walter </w:t>
      </w:r>
      <w:proofErr w:type="spellStart"/>
      <w:r>
        <w:rPr>
          <w:rFonts w:ascii="Times New Roman" w:hAnsi="Times New Roman" w:cs="Times New Roman"/>
          <w:szCs w:val="21"/>
          <w:shd w:val="clear" w:color="auto" w:fill="FFFFFF"/>
        </w:rPr>
        <w:t>Brites</w:t>
      </w:r>
      <w:proofErr w:type="spellEnd"/>
      <w:r>
        <w:rPr>
          <w:rFonts w:ascii="Times New Roman" w:hAnsi="Times New Roman" w:cs="Times New Roman"/>
          <w:szCs w:val="21"/>
          <w:shd w:val="clear" w:color="auto" w:fill="FFFFFF"/>
        </w:rPr>
        <w:t xml:space="preserve"> en la obra “</w:t>
      </w:r>
      <w:r w:rsidR="00CB005A">
        <w:rPr>
          <w:rFonts w:ascii="Times New Roman" w:hAnsi="Times New Roman" w:cs="Times New Roman"/>
          <w:szCs w:val="21"/>
          <w:shd w:val="clear" w:color="auto" w:fill="FFFFFF"/>
        </w:rPr>
        <w:t>C</w:t>
      </w:r>
      <w:r>
        <w:rPr>
          <w:rFonts w:ascii="Times New Roman" w:hAnsi="Times New Roman" w:cs="Times New Roman"/>
          <w:szCs w:val="21"/>
          <w:shd w:val="clear" w:color="auto" w:fill="FFFFFF"/>
        </w:rPr>
        <w:t>iudades, desarrollo y consecuencias sociales de grandes proyectos”. Esta obra tiene su</w:t>
      </w:r>
      <w:r w:rsidR="00CB005A">
        <w:rPr>
          <w:rFonts w:ascii="Times New Roman" w:hAnsi="Times New Roman" w:cs="Times New Roman"/>
          <w:szCs w:val="21"/>
          <w:shd w:val="clear" w:color="auto" w:fill="FFFFFF"/>
        </w:rPr>
        <w:t xml:space="preserve"> origen a partir del</w:t>
      </w:r>
      <w:r>
        <w:rPr>
          <w:rFonts w:ascii="Times New Roman" w:hAnsi="Times New Roman" w:cs="Times New Roman"/>
          <w:szCs w:val="21"/>
          <w:shd w:val="clear" w:color="auto" w:fill="FFFFFF"/>
        </w:rPr>
        <w:t xml:space="preserve"> proyecto cofinanciado por CONACYT y la Universidad Autónoma de Encarnación 14 INV 439, Grandes Proyectos de Desarrollo y Transformación </w:t>
      </w:r>
      <w:proofErr w:type="spellStart"/>
      <w:r>
        <w:rPr>
          <w:rFonts w:ascii="Times New Roman" w:hAnsi="Times New Roman" w:cs="Times New Roman"/>
          <w:szCs w:val="21"/>
          <w:shd w:val="clear" w:color="auto" w:fill="FFFFFF"/>
        </w:rPr>
        <w:t>Sociourbana</w:t>
      </w:r>
      <w:proofErr w:type="spellEnd"/>
      <w:r>
        <w:rPr>
          <w:rFonts w:ascii="Times New Roman" w:hAnsi="Times New Roman" w:cs="Times New Roman"/>
          <w:szCs w:val="21"/>
          <w:shd w:val="clear" w:color="auto" w:fill="FFFFFF"/>
        </w:rPr>
        <w:t xml:space="preserve"> entre Posadas, Argentina y Encarnación, Paraguay.</w:t>
      </w:r>
    </w:p>
    <w:p w14:paraId="75E4E477" w14:textId="47137468" w:rsidR="00CB005A" w:rsidRDefault="00BB7C9A"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En la obra se presentan casos de territorios afectados por la construcción de represas hidroeléctricas tales como Brasil, Paraguay, Argentina y Uruguay, las cuales prometían unas proyecciones sociales a partir de las intervenciones territoriales, con carácter “tangible” (Cañete, 2017</w:t>
      </w:r>
      <w:r w:rsidR="00A90E1E">
        <w:rPr>
          <w:rFonts w:ascii="Times New Roman" w:hAnsi="Times New Roman" w:cs="Times New Roman"/>
          <w:szCs w:val="21"/>
          <w:shd w:val="clear" w:color="auto" w:fill="FFFFFF"/>
        </w:rPr>
        <w:t xml:space="preserve">, en </w:t>
      </w:r>
      <w:proofErr w:type="spellStart"/>
      <w:r w:rsidR="00A90E1E">
        <w:rPr>
          <w:rFonts w:ascii="Times New Roman" w:hAnsi="Times New Roman" w:cs="Times New Roman"/>
          <w:szCs w:val="21"/>
          <w:shd w:val="clear" w:color="auto" w:fill="FFFFFF"/>
        </w:rPr>
        <w:t>Brites</w:t>
      </w:r>
      <w:proofErr w:type="spellEnd"/>
      <w:r w:rsidR="00A90E1E">
        <w:rPr>
          <w:rFonts w:ascii="Times New Roman" w:hAnsi="Times New Roman" w:cs="Times New Roman"/>
          <w:szCs w:val="21"/>
          <w:shd w:val="clear" w:color="auto" w:fill="FFFFFF"/>
        </w:rPr>
        <w:t xml:space="preserve"> y </w:t>
      </w:r>
      <w:proofErr w:type="spellStart"/>
      <w:r w:rsidR="00A90E1E">
        <w:rPr>
          <w:rFonts w:ascii="Times New Roman" w:hAnsi="Times New Roman" w:cs="Times New Roman"/>
          <w:szCs w:val="21"/>
          <w:shd w:val="clear" w:color="auto" w:fill="FFFFFF"/>
        </w:rPr>
        <w:t>Catullo</w:t>
      </w:r>
      <w:proofErr w:type="spellEnd"/>
      <w:r w:rsidR="00A90E1E">
        <w:rPr>
          <w:rFonts w:ascii="Times New Roman" w:hAnsi="Times New Roman" w:cs="Times New Roman"/>
          <w:szCs w:val="21"/>
          <w:shd w:val="clear" w:color="auto" w:fill="FFFFFF"/>
        </w:rPr>
        <w:t>, 2017:273</w:t>
      </w:r>
      <w:r>
        <w:rPr>
          <w:rFonts w:ascii="Times New Roman" w:hAnsi="Times New Roman" w:cs="Times New Roman"/>
          <w:szCs w:val="21"/>
          <w:shd w:val="clear" w:color="auto" w:fill="FFFFFF"/>
        </w:rPr>
        <w:t>), pero que se olvidaban de las intervenciones que ocasionarían una transformación “intangible” (Cañete, 2017</w:t>
      </w:r>
      <w:r w:rsidR="00A90E1E">
        <w:rPr>
          <w:rFonts w:ascii="Times New Roman" w:hAnsi="Times New Roman" w:cs="Times New Roman"/>
          <w:szCs w:val="21"/>
          <w:shd w:val="clear" w:color="auto" w:fill="FFFFFF"/>
        </w:rPr>
        <w:t xml:space="preserve">, en </w:t>
      </w:r>
      <w:proofErr w:type="spellStart"/>
      <w:r w:rsidR="00A90E1E">
        <w:rPr>
          <w:rFonts w:ascii="Times New Roman" w:hAnsi="Times New Roman" w:cs="Times New Roman"/>
          <w:szCs w:val="21"/>
          <w:shd w:val="clear" w:color="auto" w:fill="FFFFFF"/>
        </w:rPr>
        <w:t>Brites</w:t>
      </w:r>
      <w:proofErr w:type="spellEnd"/>
      <w:r w:rsidR="00A90E1E">
        <w:rPr>
          <w:rFonts w:ascii="Times New Roman" w:hAnsi="Times New Roman" w:cs="Times New Roman"/>
          <w:szCs w:val="21"/>
          <w:shd w:val="clear" w:color="auto" w:fill="FFFFFF"/>
        </w:rPr>
        <w:t xml:space="preserve"> y </w:t>
      </w:r>
      <w:proofErr w:type="spellStart"/>
      <w:r w:rsidR="00A90E1E">
        <w:rPr>
          <w:rFonts w:ascii="Times New Roman" w:hAnsi="Times New Roman" w:cs="Times New Roman"/>
          <w:szCs w:val="21"/>
          <w:shd w:val="clear" w:color="auto" w:fill="FFFFFF"/>
        </w:rPr>
        <w:t>Catullo</w:t>
      </w:r>
      <w:proofErr w:type="spellEnd"/>
      <w:r w:rsidR="00A90E1E">
        <w:rPr>
          <w:rFonts w:ascii="Times New Roman" w:hAnsi="Times New Roman" w:cs="Times New Roman"/>
          <w:szCs w:val="21"/>
          <w:shd w:val="clear" w:color="auto" w:fill="FFFFFF"/>
        </w:rPr>
        <w:t>, 2017</w:t>
      </w:r>
      <w:r>
        <w:rPr>
          <w:rFonts w:ascii="Times New Roman" w:hAnsi="Times New Roman" w:cs="Times New Roman"/>
          <w:szCs w:val="21"/>
          <w:shd w:val="clear" w:color="auto" w:fill="FFFFFF"/>
        </w:rPr>
        <w:t>:</w:t>
      </w:r>
      <w:r w:rsidR="00A90E1E">
        <w:rPr>
          <w:rFonts w:ascii="Times New Roman" w:hAnsi="Times New Roman" w:cs="Times New Roman"/>
          <w:szCs w:val="21"/>
          <w:shd w:val="clear" w:color="auto" w:fill="FFFFFF"/>
        </w:rPr>
        <w:t>277</w:t>
      </w:r>
      <w:r>
        <w:rPr>
          <w:rFonts w:ascii="Times New Roman" w:hAnsi="Times New Roman" w:cs="Times New Roman"/>
          <w:szCs w:val="21"/>
          <w:shd w:val="clear" w:color="auto" w:fill="FFFFFF"/>
        </w:rPr>
        <w:t>.)</w:t>
      </w:r>
      <w:r w:rsidR="00CB0243">
        <w:rPr>
          <w:rFonts w:ascii="Times New Roman" w:hAnsi="Times New Roman" w:cs="Times New Roman"/>
          <w:szCs w:val="21"/>
          <w:shd w:val="clear" w:color="auto" w:fill="FFFFFF"/>
        </w:rPr>
        <w:t xml:space="preserve"> a partir de los ámbitos intervinientes como son la economía, la sociedad, la política, la cultura, la tecnología y la ecología</w:t>
      </w:r>
      <w:r w:rsidR="00CB005A">
        <w:rPr>
          <w:rFonts w:ascii="Times New Roman" w:hAnsi="Times New Roman" w:cs="Times New Roman"/>
          <w:szCs w:val="21"/>
          <w:shd w:val="clear" w:color="auto" w:fill="FFFFFF"/>
        </w:rPr>
        <w:t>.</w:t>
      </w:r>
    </w:p>
    <w:p w14:paraId="4B68A77B" w14:textId="72386F65" w:rsidR="00BB7C9A" w:rsidRDefault="00CB005A"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A raíz de estos ámbitos, podemos hablar de ciertas relaciones que se establecen bajo el enfoque Ciencia Tecnología y Sociedad (CTS), añadiendo Ambiente (CTSA) en que los efectos antrópicos actúan sobre la naturaleza y, a su vez, sobre el propio ser humano.</w:t>
      </w:r>
      <w:r w:rsidR="00CB0243">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Por eso, podemos hablar de que n</w:t>
      </w:r>
      <w:r w:rsidR="00BB7C9A">
        <w:rPr>
          <w:rFonts w:ascii="Times New Roman" w:hAnsi="Times New Roman" w:cs="Times New Roman"/>
          <w:szCs w:val="21"/>
          <w:shd w:val="clear" w:color="auto" w:fill="FFFFFF"/>
        </w:rPr>
        <w:t xml:space="preserve">o solo se dio el caso de la cuestión de las afecciones a partir de las intervenciones, sino que se </w:t>
      </w:r>
      <w:r>
        <w:rPr>
          <w:rFonts w:ascii="Times New Roman" w:hAnsi="Times New Roman" w:cs="Times New Roman"/>
          <w:szCs w:val="21"/>
          <w:shd w:val="clear" w:color="auto" w:fill="FFFFFF"/>
        </w:rPr>
        <w:t>generaron</w:t>
      </w:r>
      <w:r w:rsidR="00BB7C9A">
        <w:rPr>
          <w:rFonts w:ascii="Times New Roman" w:hAnsi="Times New Roman" w:cs="Times New Roman"/>
          <w:szCs w:val="21"/>
          <w:shd w:val="clear" w:color="auto" w:fill="FFFFFF"/>
        </w:rPr>
        <w:t xml:space="preserve"> situaciones en que se altera</w:t>
      </w:r>
      <w:r>
        <w:rPr>
          <w:rFonts w:ascii="Times New Roman" w:hAnsi="Times New Roman" w:cs="Times New Roman"/>
          <w:szCs w:val="21"/>
          <w:shd w:val="clear" w:color="auto" w:fill="FFFFFF"/>
        </w:rPr>
        <w:t>ro</w:t>
      </w:r>
      <w:r w:rsidR="00BB7C9A">
        <w:rPr>
          <w:rFonts w:ascii="Times New Roman" w:hAnsi="Times New Roman" w:cs="Times New Roman"/>
          <w:szCs w:val="21"/>
          <w:shd w:val="clear" w:color="auto" w:fill="FFFFFF"/>
        </w:rPr>
        <w:t>n los procesos</w:t>
      </w:r>
      <w:r>
        <w:rPr>
          <w:rFonts w:ascii="Times New Roman" w:hAnsi="Times New Roman" w:cs="Times New Roman"/>
          <w:szCs w:val="21"/>
          <w:shd w:val="clear" w:color="auto" w:fill="FFFFFF"/>
        </w:rPr>
        <w:t xml:space="preserve"> legales establecidos,</w:t>
      </w:r>
      <w:r w:rsidR="00BB7C9A">
        <w:rPr>
          <w:rFonts w:ascii="Times New Roman" w:hAnsi="Times New Roman" w:cs="Times New Roman"/>
          <w:szCs w:val="21"/>
          <w:shd w:val="clear" w:color="auto" w:fill="FFFFFF"/>
        </w:rPr>
        <w:t xml:space="preserve"> ocasionando daños que intent</w:t>
      </w:r>
      <w:r>
        <w:rPr>
          <w:rFonts w:ascii="Times New Roman" w:hAnsi="Times New Roman" w:cs="Times New Roman"/>
          <w:szCs w:val="21"/>
          <w:shd w:val="clear" w:color="auto" w:fill="FFFFFF"/>
        </w:rPr>
        <w:t>aron e intentar</w:t>
      </w:r>
      <w:r w:rsidR="00BB7C9A">
        <w:rPr>
          <w:rFonts w:ascii="Times New Roman" w:hAnsi="Times New Roman" w:cs="Times New Roman"/>
          <w:szCs w:val="21"/>
          <w:shd w:val="clear" w:color="auto" w:fill="FFFFFF"/>
        </w:rPr>
        <w:t xml:space="preserve"> ser invisibilizados</w:t>
      </w:r>
      <w:r w:rsidR="00264938">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por su</w:t>
      </w:r>
      <w:r w:rsidR="00264938">
        <w:rPr>
          <w:rFonts w:ascii="Times New Roman" w:hAnsi="Times New Roman" w:cs="Times New Roman"/>
          <w:szCs w:val="21"/>
          <w:shd w:val="clear" w:color="auto" w:fill="FFFFFF"/>
        </w:rPr>
        <w:t xml:space="preserve"> care</w:t>
      </w:r>
      <w:r>
        <w:rPr>
          <w:rFonts w:ascii="Times New Roman" w:hAnsi="Times New Roman" w:cs="Times New Roman"/>
          <w:szCs w:val="21"/>
          <w:shd w:val="clear" w:color="auto" w:fill="FFFFFF"/>
        </w:rPr>
        <w:t>n</w:t>
      </w:r>
      <w:r w:rsidR="00264938">
        <w:rPr>
          <w:rFonts w:ascii="Times New Roman" w:hAnsi="Times New Roman" w:cs="Times New Roman"/>
          <w:szCs w:val="21"/>
          <w:shd w:val="clear" w:color="auto" w:fill="FFFFFF"/>
        </w:rPr>
        <w:t>c</w:t>
      </w:r>
      <w:r>
        <w:rPr>
          <w:rFonts w:ascii="Times New Roman" w:hAnsi="Times New Roman" w:cs="Times New Roman"/>
          <w:szCs w:val="21"/>
          <w:shd w:val="clear" w:color="auto" w:fill="FFFFFF"/>
        </w:rPr>
        <w:t>ia</w:t>
      </w:r>
      <w:r w:rsidR="00264938">
        <w:rPr>
          <w:rFonts w:ascii="Times New Roman" w:hAnsi="Times New Roman" w:cs="Times New Roman"/>
          <w:szCs w:val="21"/>
          <w:shd w:val="clear" w:color="auto" w:fill="FFFFFF"/>
        </w:rPr>
        <w:t xml:space="preserve"> de transparencia y sinceridad entre otros</w:t>
      </w:r>
      <w:r w:rsidR="00A90E1E">
        <w:rPr>
          <w:rFonts w:ascii="Times New Roman" w:hAnsi="Times New Roman" w:cs="Times New Roman"/>
          <w:szCs w:val="21"/>
          <w:shd w:val="clear" w:color="auto" w:fill="FFFFFF"/>
        </w:rPr>
        <w:t xml:space="preserve">, como en el caso de la UHE de </w:t>
      </w:r>
      <w:proofErr w:type="spellStart"/>
      <w:r w:rsidR="00A90E1E">
        <w:rPr>
          <w:rFonts w:ascii="Times New Roman" w:hAnsi="Times New Roman" w:cs="Times New Roman"/>
          <w:szCs w:val="21"/>
          <w:shd w:val="clear" w:color="auto" w:fill="FFFFFF"/>
        </w:rPr>
        <w:t>Itapebi</w:t>
      </w:r>
      <w:proofErr w:type="spellEnd"/>
      <w:r w:rsidR="00A90E1E">
        <w:rPr>
          <w:rFonts w:ascii="Times New Roman" w:hAnsi="Times New Roman" w:cs="Times New Roman"/>
          <w:szCs w:val="21"/>
          <w:shd w:val="clear" w:color="auto" w:fill="FFFFFF"/>
        </w:rPr>
        <w:t>. (</w:t>
      </w:r>
      <w:proofErr w:type="spellStart"/>
      <w:r w:rsidR="00A90E1E">
        <w:rPr>
          <w:rFonts w:ascii="Times New Roman" w:hAnsi="Times New Roman" w:cs="Times New Roman"/>
          <w:szCs w:val="21"/>
          <w:shd w:val="clear" w:color="auto" w:fill="FFFFFF"/>
        </w:rPr>
        <w:t>Filho</w:t>
      </w:r>
      <w:proofErr w:type="spellEnd"/>
      <w:r w:rsidR="00A90E1E">
        <w:rPr>
          <w:rFonts w:ascii="Times New Roman" w:hAnsi="Times New Roman" w:cs="Times New Roman"/>
          <w:szCs w:val="21"/>
          <w:shd w:val="clear" w:color="auto" w:fill="FFFFFF"/>
        </w:rPr>
        <w:t xml:space="preserve"> y Dos Santos, 2017, en </w:t>
      </w:r>
      <w:proofErr w:type="spellStart"/>
      <w:r w:rsidR="00A90E1E">
        <w:rPr>
          <w:rFonts w:ascii="Times New Roman" w:hAnsi="Times New Roman" w:cs="Times New Roman"/>
          <w:szCs w:val="21"/>
          <w:shd w:val="clear" w:color="auto" w:fill="FFFFFF"/>
        </w:rPr>
        <w:t>Brites</w:t>
      </w:r>
      <w:proofErr w:type="spellEnd"/>
      <w:r w:rsidR="00A90E1E">
        <w:rPr>
          <w:rFonts w:ascii="Times New Roman" w:hAnsi="Times New Roman" w:cs="Times New Roman"/>
          <w:szCs w:val="21"/>
          <w:shd w:val="clear" w:color="auto" w:fill="FFFFFF"/>
        </w:rPr>
        <w:t xml:space="preserve"> y </w:t>
      </w:r>
      <w:proofErr w:type="spellStart"/>
      <w:r w:rsidR="00A90E1E">
        <w:rPr>
          <w:rFonts w:ascii="Times New Roman" w:hAnsi="Times New Roman" w:cs="Times New Roman"/>
          <w:szCs w:val="21"/>
          <w:shd w:val="clear" w:color="auto" w:fill="FFFFFF"/>
        </w:rPr>
        <w:t>Catullo</w:t>
      </w:r>
      <w:proofErr w:type="spellEnd"/>
      <w:r w:rsidR="00A90E1E">
        <w:rPr>
          <w:rFonts w:ascii="Times New Roman" w:hAnsi="Times New Roman" w:cs="Times New Roman"/>
          <w:szCs w:val="21"/>
          <w:shd w:val="clear" w:color="auto" w:fill="FFFFFF"/>
        </w:rPr>
        <w:t>, 2017: 165)</w:t>
      </w:r>
    </w:p>
    <w:p w14:paraId="3E68BB37" w14:textId="617FE723" w:rsidR="00264938" w:rsidRDefault="00264938"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El presente artículo, por tanto, pretende ser un llamamiento a las autoridade</w:t>
      </w:r>
      <w:r w:rsidR="00CB005A">
        <w:rPr>
          <w:rFonts w:ascii="Times New Roman" w:hAnsi="Times New Roman" w:cs="Times New Roman"/>
          <w:szCs w:val="21"/>
          <w:shd w:val="clear" w:color="auto" w:fill="FFFFFF"/>
        </w:rPr>
        <w:t>s</w:t>
      </w:r>
      <w:r w:rsidR="00A90E1E">
        <w:rPr>
          <w:rFonts w:ascii="Times New Roman" w:hAnsi="Times New Roman" w:cs="Times New Roman"/>
          <w:szCs w:val="21"/>
          <w:shd w:val="clear" w:color="auto" w:fill="FFFFFF"/>
        </w:rPr>
        <w:t>, las instituciones</w:t>
      </w:r>
      <w:r w:rsidR="00CB005A">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 xml:space="preserve">y la población a fin de desarrollar una conciencia de responsabilidad y participación que favorezca la </w:t>
      </w:r>
      <w:r w:rsidR="00A90E1E">
        <w:rPr>
          <w:rFonts w:ascii="Times New Roman" w:hAnsi="Times New Roman" w:cs="Times New Roman"/>
          <w:szCs w:val="21"/>
          <w:shd w:val="clear" w:color="auto" w:fill="FFFFFF"/>
        </w:rPr>
        <w:t>multi</w:t>
      </w:r>
      <w:r>
        <w:rPr>
          <w:rFonts w:ascii="Times New Roman" w:hAnsi="Times New Roman" w:cs="Times New Roman"/>
          <w:szCs w:val="21"/>
          <w:shd w:val="clear" w:color="auto" w:fill="FFFFFF"/>
        </w:rPr>
        <w:t>direccionalidad en la toma de decisiones ante cambios significativos del medio y, por extensión, de los entornos, entendiendo que el medio es el espacio físico que se verá intervenido y el entorno es la esfera en que una persona se desenvuelve a partir de las relaciones sociales</w:t>
      </w:r>
      <w:r w:rsidR="00CB005A">
        <w:rPr>
          <w:rFonts w:ascii="Times New Roman" w:hAnsi="Times New Roman" w:cs="Times New Roman"/>
          <w:szCs w:val="21"/>
          <w:shd w:val="clear" w:color="auto" w:fill="FFFFFF"/>
        </w:rPr>
        <w:t xml:space="preserve"> y lo que ello conlleva en esferas como la económica</w:t>
      </w:r>
      <w:r w:rsidR="00A90E1E">
        <w:rPr>
          <w:rFonts w:ascii="Times New Roman" w:hAnsi="Times New Roman" w:cs="Times New Roman"/>
          <w:szCs w:val="21"/>
          <w:shd w:val="clear" w:color="auto" w:fill="FFFFFF"/>
        </w:rPr>
        <w:t>, la geográfica y los hábitos y rutinas de subsistencia-convivencia</w:t>
      </w:r>
      <w:r>
        <w:rPr>
          <w:rFonts w:ascii="Times New Roman" w:hAnsi="Times New Roman" w:cs="Times New Roman"/>
          <w:szCs w:val="21"/>
          <w:shd w:val="clear" w:color="auto" w:fill="FFFFFF"/>
        </w:rPr>
        <w:t>.</w:t>
      </w:r>
    </w:p>
    <w:p w14:paraId="6C9CC78D" w14:textId="3993E87E" w:rsidR="00264938" w:rsidRDefault="00264938"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Toda afectación del espacio físico supone, generalmente, una vía de desarrollo, un camino hacia el progreso, pero ¿para el desarrollo de quién? ¿qué tipo de desarrollo?</w:t>
      </w:r>
    </w:p>
    <w:p w14:paraId="045FF7DB" w14:textId="7FBB6975" w:rsidR="007D6FE7" w:rsidRDefault="00264938"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A lo largo de las investigaciones presentadas sobre las represas como en el caso de </w:t>
      </w:r>
      <w:proofErr w:type="spellStart"/>
      <w:r>
        <w:rPr>
          <w:rFonts w:ascii="Times New Roman" w:hAnsi="Times New Roman" w:cs="Times New Roman"/>
          <w:szCs w:val="21"/>
          <w:shd w:val="clear" w:color="auto" w:fill="FFFFFF"/>
        </w:rPr>
        <w:t>Chiuhido</w:t>
      </w:r>
      <w:proofErr w:type="spellEnd"/>
      <w:r>
        <w:rPr>
          <w:rFonts w:ascii="Times New Roman" w:hAnsi="Times New Roman" w:cs="Times New Roman"/>
          <w:szCs w:val="21"/>
          <w:shd w:val="clear" w:color="auto" w:fill="FFFFFF"/>
        </w:rPr>
        <w:t xml:space="preserve"> I (Neuquén Argentina) por Juan Carlos </w:t>
      </w:r>
      <w:proofErr w:type="spellStart"/>
      <w:r>
        <w:rPr>
          <w:rFonts w:ascii="Times New Roman" w:hAnsi="Times New Roman" w:cs="Times New Roman"/>
          <w:szCs w:val="21"/>
          <w:shd w:val="clear" w:color="auto" w:fill="FFFFFF"/>
        </w:rPr>
        <w:t>Radovich</w:t>
      </w:r>
      <w:proofErr w:type="spellEnd"/>
      <w:r>
        <w:rPr>
          <w:rFonts w:ascii="Times New Roman" w:hAnsi="Times New Roman" w:cs="Times New Roman"/>
          <w:szCs w:val="21"/>
          <w:shd w:val="clear" w:color="auto" w:fill="FFFFFF"/>
        </w:rPr>
        <w:t xml:space="preserve"> (2017,</w:t>
      </w:r>
      <w:r w:rsidR="00A90E1E">
        <w:rPr>
          <w:rFonts w:ascii="Times New Roman" w:hAnsi="Times New Roman" w:cs="Times New Roman"/>
          <w:szCs w:val="21"/>
          <w:shd w:val="clear" w:color="auto" w:fill="FFFFFF"/>
        </w:rPr>
        <w:t xml:space="preserve"> en </w:t>
      </w:r>
      <w:proofErr w:type="spellStart"/>
      <w:r w:rsidR="00A90E1E">
        <w:rPr>
          <w:rFonts w:ascii="Times New Roman" w:hAnsi="Times New Roman" w:cs="Times New Roman"/>
          <w:szCs w:val="21"/>
          <w:shd w:val="clear" w:color="auto" w:fill="FFFFFF"/>
        </w:rPr>
        <w:t>Brites</w:t>
      </w:r>
      <w:proofErr w:type="spellEnd"/>
      <w:r w:rsidR="00A90E1E">
        <w:rPr>
          <w:rFonts w:ascii="Times New Roman" w:hAnsi="Times New Roman" w:cs="Times New Roman"/>
          <w:szCs w:val="21"/>
          <w:shd w:val="clear" w:color="auto" w:fill="FFFFFF"/>
        </w:rPr>
        <w:t xml:space="preserve"> y </w:t>
      </w:r>
      <w:proofErr w:type="spellStart"/>
      <w:r w:rsidR="00A90E1E">
        <w:rPr>
          <w:rFonts w:ascii="Times New Roman" w:hAnsi="Times New Roman" w:cs="Times New Roman"/>
          <w:szCs w:val="21"/>
          <w:shd w:val="clear" w:color="auto" w:fill="FFFFFF"/>
        </w:rPr>
        <w:t>Catullo</w:t>
      </w:r>
      <w:proofErr w:type="spellEnd"/>
      <w:r w:rsidR="00A90E1E">
        <w:rPr>
          <w:rFonts w:ascii="Times New Roman" w:hAnsi="Times New Roman" w:cs="Times New Roman"/>
          <w:szCs w:val="21"/>
          <w:shd w:val="clear" w:color="auto" w:fill="FFFFFF"/>
        </w:rPr>
        <w:t>, 2017:</w:t>
      </w:r>
      <w:r w:rsidR="005E3097">
        <w:rPr>
          <w:rFonts w:ascii="Times New Roman" w:hAnsi="Times New Roman" w:cs="Times New Roman"/>
          <w:szCs w:val="21"/>
          <w:shd w:val="clear" w:color="auto" w:fill="FFFFFF"/>
        </w:rPr>
        <w:t>18);</w:t>
      </w:r>
      <w:r>
        <w:rPr>
          <w:rFonts w:ascii="Times New Roman" w:hAnsi="Times New Roman" w:cs="Times New Roman"/>
          <w:szCs w:val="21"/>
          <w:shd w:val="clear" w:color="auto" w:fill="FFFFFF"/>
        </w:rPr>
        <w:t xml:space="preserve"> UHE Foz de Chapecó (Oeste </w:t>
      </w:r>
      <w:proofErr w:type="spellStart"/>
      <w:r>
        <w:rPr>
          <w:rFonts w:ascii="Times New Roman" w:hAnsi="Times New Roman" w:cs="Times New Roman"/>
          <w:szCs w:val="21"/>
          <w:shd w:val="clear" w:color="auto" w:fill="FFFFFF"/>
        </w:rPr>
        <w:t>Catariense</w:t>
      </w:r>
      <w:proofErr w:type="spellEnd"/>
      <w:r>
        <w:rPr>
          <w:rFonts w:ascii="Times New Roman" w:hAnsi="Times New Roman" w:cs="Times New Roman"/>
          <w:szCs w:val="21"/>
          <w:shd w:val="clear" w:color="auto" w:fill="FFFFFF"/>
        </w:rPr>
        <w:t xml:space="preserve">, Brasil) por Arlene </w:t>
      </w:r>
      <w:proofErr w:type="spellStart"/>
      <w:r>
        <w:rPr>
          <w:rFonts w:ascii="Times New Roman" w:hAnsi="Times New Roman" w:cs="Times New Roman"/>
          <w:szCs w:val="21"/>
          <w:shd w:val="clear" w:color="auto" w:fill="FFFFFF"/>
        </w:rPr>
        <w:t>Renk</w:t>
      </w:r>
      <w:proofErr w:type="spellEnd"/>
      <w:r>
        <w:rPr>
          <w:rFonts w:ascii="Times New Roman" w:hAnsi="Times New Roman" w:cs="Times New Roman"/>
          <w:szCs w:val="21"/>
          <w:shd w:val="clear" w:color="auto" w:fill="FFFFFF"/>
        </w:rPr>
        <w:t xml:space="preserve"> y Silvana </w:t>
      </w:r>
      <w:proofErr w:type="spellStart"/>
      <w:r>
        <w:rPr>
          <w:rFonts w:ascii="Times New Roman" w:hAnsi="Times New Roman" w:cs="Times New Roman"/>
          <w:szCs w:val="21"/>
          <w:shd w:val="clear" w:color="auto" w:fill="FFFFFF"/>
        </w:rPr>
        <w:t>Winckler</w:t>
      </w:r>
      <w:proofErr w:type="spellEnd"/>
      <w:r>
        <w:rPr>
          <w:rFonts w:ascii="Times New Roman" w:hAnsi="Times New Roman" w:cs="Times New Roman"/>
          <w:szCs w:val="21"/>
          <w:shd w:val="clear" w:color="auto" w:fill="FFFFFF"/>
        </w:rPr>
        <w:t xml:space="preserve"> (2017,</w:t>
      </w:r>
      <w:r w:rsidR="005E3097">
        <w:rPr>
          <w:rFonts w:ascii="Times New Roman" w:hAnsi="Times New Roman" w:cs="Times New Roman"/>
          <w:szCs w:val="21"/>
          <w:shd w:val="clear" w:color="auto" w:fill="FFFFFF"/>
        </w:rPr>
        <w:t xml:space="preserve">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2017:46)</w:t>
      </w:r>
      <w:r w:rsidR="007D6FE7">
        <w:rPr>
          <w:rFonts w:ascii="Times New Roman" w:hAnsi="Times New Roman" w:cs="Times New Roman"/>
          <w:szCs w:val="21"/>
          <w:shd w:val="clear" w:color="auto" w:fill="FFFFFF"/>
        </w:rPr>
        <w:t>;</w:t>
      </w:r>
      <w:r>
        <w:rPr>
          <w:rFonts w:ascii="Times New Roman" w:hAnsi="Times New Roman" w:cs="Times New Roman"/>
          <w:szCs w:val="21"/>
          <w:shd w:val="clear" w:color="auto" w:fill="FFFFFF"/>
        </w:rPr>
        <w:t xml:space="preserve"> Salto Grande (Argentina-Uruguay) por Walter </w:t>
      </w:r>
      <w:proofErr w:type="spellStart"/>
      <w:r>
        <w:rPr>
          <w:rFonts w:ascii="Times New Roman" w:hAnsi="Times New Roman" w:cs="Times New Roman"/>
          <w:szCs w:val="21"/>
          <w:shd w:val="clear" w:color="auto" w:fill="FFFFFF"/>
        </w:rPr>
        <w:t>Brites</w:t>
      </w:r>
      <w:proofErr w:type="spellEnd"/>
      <w:r>
        <w:rPr>
          <w:rFonts w:ascii="Times New Roman" w:hAnsi="Times New Roman" w:cs="Times New Roman"/>
          <w:szCs w:val="21"/>
          <w:shd w:val="clear" w:color="auto" w:fill="FFFFFF"/>
        </w:rPr>
        <w:t xml:space="preserve"> y María R. Catulo (2017,</w:t>
      </w:r>
      <w:r w:rsidR="005E3097">
        <w:rPr>
          <w:rFonts w:ascii="Times New Roman" w:hAnsi="Times New Roman" w:cs="Times New Roman"/>
          <w:szCs w:val="21"/>
          <w:shd w:val="clear" w:color="auto" w:fill="FFFFFF"/>
        </w:rPr>
        <w:t xml:space="preserve"> 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2017:70</w:t>
      </w:r>
      <w:r>
        <w:rPr>
          <w:rFonts w:ascii="Times New Roman" w:hAnsi="Times New Roman" w:cs="Times New Roman"/>
          <w:szCs w:val="21"/>
          <w:shd w:val="clear" w:color="auto" w:fill="FFFFFF"/>
        </w:rPr>
        <w:t>)</w:t>
      </w:r>
      <w:r w:rsidR="007D6FE7">
        <w:rPr>
          <w:rFonts w:ascii="Times New Roman" w:hAnsi="Times New Roman" w:cs="Times New Roman"/>
          <w:szCs w:val="21"/>
          <w:shd w:val="clear" w:color="auto" w:fill="FFFFFF"/>
        </w:rPr>
        <w:t xml:space="preserve">; Itaipú Binacional (Foz de </w:t>
      </w:r>
      <w:proofErr w:type="spellStart"/>
      <w:r w:rsidR="007D6FE7">
        <w:rPr>
          <w:rFonts w:ascii="Times New Roman" w:hAnsi="Times New Roman" w:cs="Times New Roman"/>
          <w:szCs w:val="21"/>
          <w:shd w:val="clear" w:color="auto" w:fill="FFFFFF"/>
        </w:rPr>
        <w:t>Iguaçú</w:t>
      </w:r>
      <w:proofErr w:type="spellEnd"/>
      <w:r w:rsidR="007D6FE7">
        <w:rPr>
          <w:rFonts w:ascii="Times New Roman" w:hAnsi="Times New Roman" w:cs="Times New Roman"/>
          <w:szCs w:val="21"/>
          <w:shd w:val="clear" w:color="auto" w:fill="FFFFFF"/>
        </w:rPr>
        <w:t xml:space="preserve">, Ciudad del Este y Puerto Iguazú; Brasil, Paraguay y Argentina respectivamente) por Edson Clemente, </w:t>
      </w:r>
      <w:proofErr w:type="spellStart"/>
      <w:r w:rsidR="007D6FE7">
        <w:rPr>
          <w:rFonts w:ascii="Times New Roman" w:hAnsi="Times New Roman" w:cs="Times New Roman"/>
          <w:szCs w:val="21"/>
          <w:shd w:val="clear" w:color="auto" w:fill="FFFFFF"/>
        </w:rPr>
        <w:t>Valdelice</w:t>
      </w:r>
      <w:proofErr w:type="spellEnd"/>
      <w:r w:rsidR="007D6FE7">
        <w:rPr>
          <w:rFonts w:ascii="Times New Roman" w:hAnsi="Times New Roman" w:cs="Times New Roman"/>
          <w:szCs w:val="21"/>
          <w:shd w:val="clear" w:color="auto" w:fill="FFFFFF"/>
        </w:rPr>
        <w:t xml:space="preserve"> </w:t>
      </w:r>
      <w:proofErr w:type="spellStart"/>
      <w:r w:rsidR="007D6FE7">
        <w:rPr>
          <w:rFonts w:ascii="Times New Roman" w:hAnsi="Times New Roman" w:cs="Times New Roman"/>
          <w:szCs w:val="21"/>
          <w:shd w:val="clear" w:color="auto" w:fill="FFFFFF"/>
        </w:rPr>
        <w:t>Fagundes</w:t>
      </w:r>
      <w:proofErr w:type="spellEnd"/>
      <w:r w:rsidR="007D6FE7">
        <w:rPr>
          <w:rFonts w:ascii="Times New Roman" w:hAnsi="Times New Roman" w:cs="Times New Roman"/>
          <w:szCs w:val="21"/>
          <w:shd w:val="clear" w:color="auto" w:fill="FFFFFF"/>
        </w:rPr>
        <w:t xml:space="preserve"> y Andrea Zacharias (2017,</w:t>
      </w:r>
      <w:r w:rsidR="005E3097">
        <w:rPr>
          <w:rFonts w:ascii="Times New Roman" w:hAnsi="Times New Roman" w:cs="Times New Roman"/>
          <w:szCs w:val="21"/>
          <w:shd w:val="clear" w:color="auto" w:fill="FFFFFF"/>
        </w:rPr>
        <w:t xml:space="preserve"> 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2017:105</w:t>
      </w:r>
      <w:r w:rsidR="007D6FE7">
        <w:rPr>
          <w:rFonts w:ascii="Times New Roman" w:hAnsi="Times New Roman" w:cs="Times New Roman"/>
          <w:szCs w:val="21"/>
          <w:shd w:val="clear" w:color="auto" w:fill="FFFFFF"/>
        </w:rPr>
        <w:t>);</w:t>
      </w:r>
      <w:r w:rsidR="005E3097">
        <w:rPr>
          <w:rFonts w:ascii="Times New Roman" w:hAnsi="Times New Roman" w:cs="Times New Roman"/>
          <w:szCs w:val="21"/>
          <w:shd w:val="clear" w:color="auto" w:fill="FFFFFF"/>
        </w:rPr>
        <w:t xml:space="preserve"> UHE</w:t>
      </w:r>
      <w:r w:rsidR="007D6FE7">
        <w:rPr>
          <w:rFonts w:ascii="Times New Roman" w:hAnsi="Times New Roman" w:cs="Times New Roman"/>
          <w:szCs w:val="21"/>
          <w:shd w:val="clear" w:color="auto" w:fill="FFFFFF"/>
        </w:rPr>
        <w:t xml:space="preserve"> </w:t>
      </w:r>
      <w:proofErr w:type="spellStart"/>
      <w:r w:rsidR="007D6FE7">
        <w:rPr>
          <w:rFonts w:ascii="Times New Roman" w:hAnsi="Times New Roman" w:cs="Times New Roman"/>
          <w:szCs w:val="21"/>
          <w:shd w:val="clear" w:color="auto" w:fill="FFFFFF"/>
        </w:rPr>
        <w:t>Itapebi</w:t>
      </w:r>
      <w:proofErr w:type="spellEnd"/>
      <w:r w:rsidR="007D6FE7">
        <w:rPr>
          <w:rFonts w:ascii="Times New Roman" w:hAnsi="Times New Roman" w:cs="Times New Roman"/>
          <w:szCs w:val="21"/>
          <w:shd w:val="clear" w:color="auto" w:fill="FFFFFF"/>
        </w:rPr>
        <w:t xml:space="preserve"> (Bahía-Brasil) por </w:t>
      </w:r>
      <w:proofErr w:type="spellStart"/>
      <w:r w:rsidR="007D6FE7">
        <w:rPr>
          <w:rFonts w:ascii="Times New Roman" w:hAnsi="Times New Roman" w:cs="Times New Roman"/>
          <w:szCs w:val="21"/>
          <w:shd w:val="clear" w:color="auto" w:fill="FFFFFF"/>
        </w:rPr>
        <w:t>Aderal</w:t>
      </w:r>
      <w:proofErr w:type="spellEnd"/>
      <w:r w:rsidR="007D6FE7">
        <w:rPr>
          <w:rFonts w:ascii="Times New Roman" w:hAnsi="Times New Roman" w:cs="Times New Roman"/>
          <w:szCs w:val="21"/>
          <w:shd w:val="clear" w:color="auto" w:fill="FFFFFF"/>
        </w:rPr>
        <w:t xml:space="preserve"> Costa y Reginaldo dos Santos (2017,</w:t>
      </w:r>
      <w:r w:rsidR="005E3097">
        <w:rPr>
          <w:rFonts w:ascii="Times New Roman" w:hAnsi="Times New Roman" w:cs="Times New Roman"/>
          <w:szCs w:val="21"/>
          <w:shd w:val="clear" w:color="auto" w:fill="FFFFFF"/>
        </w:rPr>
        <w:t xml:space="preserve"> 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2017:165</w:t>
      </w:r>
      <w:r w:rsidR="007D6FE7">
        <w:rPr>
          <w:rFonts w:ascii="Times New Roman" w:hAnsi="Times New Roman" w:cs="Times New Roman"/>
          <w:szCs w:val="21"/>
          <w:shd w:val="clear" w:color="auto" w:fill="FFFFFF"/>
        </w:rPr>
        <w:t xml:space="preserve">); </w:t>
      </w:r>
      <w:proofErr w:type="spellStart"/>
      <w:r w:rsidR="007D6FE7">
        <w:rPr>
          <w:rFonts w:ascii="Times New Roman" w:hAnsi="Times New Roman" w:cs="Times New Roman"/>
          <w:szCs w:val="21"/>
          <w:shd w:val="clear" w:color="auto" w:fill="FFFFFF"/>
        </w:rPr>
        <w:t>Yacyretá</w:t>
      </w:r>
      <w:proofErr w:type="spellEnd"/>
      <w:r w:rsidR="007D6FE7">
        <w:rPr>
          <w:rFonts w:ascii="Times New Roman" w:hAnsi="Times New Roman" w:cs="Times New Roman"/>
          <w:szCs w:val="21"/>
          <w:shd w:val="clear" w:color="auto" w:fill="FFFFFF"/>
        </w:rPr>
        <w:t xml:space="preserve"> (Encarnación, Paraguay) por Walter </w:t>
      </w:r>
      <w:proofErr w:type="spellStart"/>
      <w:r w:rsidR="007D6FE7">
        <w:rPr>
          <w:rFonts w:ascii="Times New Roman" w:hAnsi="Times New Roman" w:cs="Times New Roman"/>
          <w:szCs w:val="21"/>
          <w:shd w:val="clear" w:color="auto" w:fill="FFFFFF"/>
        </w:rPr>
        <w:t>Brites</w:t>
      </w:r>
      <w:proofErr w:type="spellEnd"/>
      <w:r w:rsidR="007D6FE7">
        <w:rPr>
          <w:rFonts w:ascii="Times New Roman" w:hAnsi="Times New Roman" w:cs="Times New Roman"/>
          <w:szCs w:val="21"/>
          <w:shd w:val="clear" w:color="auto" w:fill="FFFFFF"/>
        </w:rPr>
        <w:t xml:space="preserve"> y Roberto Cañete (2017</w:t>
      </w:r>
      <w:r w:rsidR="005E3097">
        <w:rPr>
          <w:rFonts w:ascii="Times New Roman" w:hAnsi="Times New Roman" w:cs="Times New Roman"/>
          <w:szCs w:val="21"/>
          <w:shd w:val="clear" w:color="auto" w:fill="FFFFFF"/>
        </w:rPr>
        <w:t xml:space="preserve">, 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2017:213 y 269</w:t>
      </w:r>
      <w:r w:rsidR="007D6FE7">
        <w:rPr>
          <w:rFonts w:ascii="Times New Roman" w:hAnsi="Times New Roman" w:cs="Times New Roman"/>
          <w:szCs w:val="21"/>
          <w:shd w:val="clear" w:color="auto" w:fill="FFFFFF"/>
        </w:rPr>
        <w:t xml:space="preserve">); </w:t>
      </w:r>
      <w:proofErr w:type="spellStart"/>
      <w:r w:rsidR="007D6FE7">
        <w:rPr>
          <w:rFonts w:ascii="Times New Roman" w:hAnsi="Times New Roman" w:cs="Times New Roman"/>
          <w:szCs w:val="21"/>
          <w:shd w:val="clear" w:color="auto" w:fill="FFFFFF"/>
        </w:rPr>
        <w:t>Yacyretá</w:t>
      </w:r>
      <w:proofErr w:type="spellEnd"/>
      <w:r w:rsidR="007D6FE7">
        <w:rPr>
          <w:rFonts w:ascii="Times New Roman" w:hAnsi="Times New Roman" w:cs="Times New Roman"/>
          <w:szCs w:val="21"/>
          <w:shd w:val="clear" w:color="auto" w:fill="FFFFFF"/>
        </w:rPr>
        <w:t xml:space="preserve"> (Posadas, Argentina) por Marisa Monzón (2017</w:t>
      </w:r>
      <w:r w:rsidR="005E3097">
        <w:rPr>
          <w:rFonts w:ascii="Times New Roman" w:hAnsi="Times New Roman" w:cs="Times New Roman"/>
          <w:szCs w:val="21"/>
          <w:shd w:val="clear" w:color="auto" w:fill="FFFFFF"/>
        </w:rPr>
        <w:t xml:space="preserve">, 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2017:245</w:t>
      </w:r>
      <w:r w:rsidR="007D6FE7">
        <w:rPr>
          <w:rFonts w:ascii="Times New Roman" w:hAnsi="Times New Roman" w:cs="Times New Roman"/>
          <w:szCs w:val="21"/>
          <w:shd w:val="clear" w:color="auto" w:fill="FFFFFF"/>
        </w:rPr>
        <w:t>); nos encontramos con situaciones en que se adelantaba</w:t>
      </w:r>
      <w:r w:rsidR="0095425E">
        <w:rPr>
          <w:rFonts w:ascii="Times New Roman" w:hAnsi="Times New Roman" w:cs="Times New Roman"/>
          <w:szCs w:val="21"/>
          <w:shd w:val="clear" w:color="auto" w:fill="FFFFFF"/>
        </w:rPr>
        <w:t xml:space="preserve"> -se prometía como en </w:t>
      </w:r>
      <w:r w:rsidR="0095425E">
        <w:rPr>
          <w:rFonts w:ascii="Times New Roman" w:hAnsi="Times New Roman" w:cs="Times New Roman"/>
          <w:szCs w:val="21"/>
          <w:shd w:val="clear" w:color="auto" w:fill="FFFFFF"/>
        </w:rPr>
        <w:lastRenderedPageBreak/>
        <w:t>“Bienvenido Mr. Marshall”-</w:t>
      </w:r>
      <w:r w:rsidR="007D6FE7">
        <w:rPr>
          <w:rFonts w:ascii="Times New Roman" w:hAnsi="Times New Roman" w:cs="Times New Roman"/>
          <w:szCs w:val="21"/>
          <w:shd w:val="clear" w:color="auto" w:fill="FFFFFF"/>
        </w:rPr>
        <w:t xml:space="preserve"> una situación de prosperidad a partir de la creación de unas represas que conllevarían acceso a fuentes de trabajo, paliación de demandas sociales con construcción y habilitación de espacios para el esparcimiento, el desarrollo social y económico, el acceso a servicios mínimos para llevar a cabo una vida digna… pero terminó cerrándose el ciclo</w:t>
      </w:r>
      <w:r w:rsidR="0095425E">
        <w:rPr>
          <w:rFonts w:ascii="Times New Roman" w:hAnsi="Times New Roman" w:cs="Times New Roman"/>
          <w:szCs w:val="21"/>
          <w:shd w:val="clear" w:color="auto" w:fill="FFFFFF"/>
        </w:rPr>
        <w:t xml:space="preserve"> -aún con los planes de intervención no finalizados-</w:t>
      </w:r>
      <w:r w:rsidR="007D6FE7">
        <w:rPr>
          <w:rFonts w:ascii="Times New Roman" w:hAnsi="Times New Roman" w:cs="Times New Roman"/>
          <w:szCs w:val="21"/>
          <w:shd w:val="clear" w:color="auto" w:fill="FFFFFF"/>
        </w:rPr>
        <w:t xml:space="preserve"> con “más pena que gloria”.</w:t>
      </w:r>
    </w:p>
    <w:p w14:paraId="663A38FF" w14:textId="07252387" w:rsidR="00CA6C17" w:rsidRPr="00CA6C17" w:rsidRDefault="00860CF4" w:rsidP="00C73387">
      <w:pPr>
        <w:spacing w:line="240" w:lineRule="auto"/>
        <w:jc w:val="left"/>
        <w:rPr>
          <w:rFonts w:ascii="Times New Roman" w:hAnsi="Times New Roman" w:cs="Times New Roman"/>
          <w:b/>
          <w:szCs w:val="21"/>
          <w:shd w:val="clear" w:color="auto" w:fill="FFFFFF"/>
        </w:rPr>
      </w:pPr>
      <w:r>
        <w:rPr>
          <w:rFonts w:ascii="Times New Roman" w:hAnsi="Times New Roman" w:cs="Times New Roman"/>
          <w:b/>
          <w:szCs w:val="21"/>
          <w:shd w:val="clear" w:color="auto" w:fill="FFFFFF"/>
        </w:rPr>
        <w:t xml:space="preserve">2) </w:t>
      </w:r>
      <w:r w:rsidR="00CA6C17" w:rsidRPr="00CA6C17">
        <w:rPr>
          <w:rFonts w:ascii="Times New Roman" w:hAnsi="Times New Roman" w:cs="Times New Roman"/>
          <w:b/>
          <w:szCs w:val="21"/>
          <w:shd w:val="clear" w:color="auto" w:fill="FFFFFF"/>
        </w:rPr>
        <w:t>Concretando las situaciones generadas en los casos de desarrollo</w:t>
      </w:r>
    </w:p>
    <w:p w14:paraId="1A0042C6" w14:textId="62533E25" w:rsidR="00D8550C" w:rsidRDefault="00D8550C"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En las investigaciones mencionadas, podemos acceder a informaciones tales como la alteración de las actuaciones en el territorio, las asignaciones de obras, cambios legislativos favorecedores para las altas élites</w:t>
      </w:r>
      <w:r w:rsidR="0095425E">
        <w:rPr>
          <w:rFonts w:ascii="Times New Roman" w:hAnsi="Times New Roman" w:cs="Times New Roman"/>
          <w:szCs w:val="21"/>
          <w:shd w:val="clear" w:color="auto" w:fill="FFFFFF"/>
        </w:rPr>
        <w:t xml:space="preserve"> o afectaciones sociales intangibles</w:t>
      </w:r>
      <w:r>
        <w:rPr>
          <w:rFonts w:ascii="Times New Roman" w:hAnsi="Times New Roman" w:cs="Times New Roman"/>
          <w:szCs w:val="21"/>
          <w:shd w:val="clear" w:color="auto" w:fill="FFFFFF"/>
        </w:rPr>
        <w:t>. También a informaciones como la dotación de recursos para los intervenidos -hablan los textos de relocalizaciones-, generalmente en cuestiones pecuniarias mediante indemnizaciones y/o complejos habitacionales. Sin embargo, ¿son estas las soluciones?</w:t>
      </w:r>
    </w:p>
    <w:p w14:paraId="02C28737" w14:textId="7F119979" w:rsidR="00D8550C" w:rsidRDefault="00D8550C"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Algunos autores (</w:t>
      </w:r>
      <w:proofErr w:type="spellStart"/>
      <w:r>
        <w:rPr>
          <w:rFonts w:ascii="Times New Roman" w:hAnsi="Times New Roman" w:cs="Times New Roman"/>
          <w:szCs w:val="21"/>
          <w:shd w:val="clear" w:color="auto" w:fill="FFFFFF"/>
        </w:rPr>
        <w:t>Banerjee</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Duflo</w:t>
      </w:r>
      <w:proofErr w:type="spellEnd"/>
      <w:r>
        <w:rPr>
          <w:rFonts w:ascii="Times New Roman" w:hAnsi="Times New Roman" w:cs="Times New Roman"/>
          <w:szCs w:val="21"/>
          <w:shd w:val="clear" w:color="auto" w:fill="FFFFFF"/>
        </w:rPr>
        <w:t>,</w:t>
      </w:r>
      <w:r w:rsidR="005E3097">
        <w:rPr>
          <w:rFonts w:ascii="Times New Roman" w:hAnsi="Times New Roman" w:cs="Times New Roman"/>
          <w:szCs w:val="21"/>
          <w:shd w:val="clear" w:color="auto" w:fill="FFFFFF"/>
        </w:rPr>
        <w:t xml:space="preserve"> 2014</w:t>
      </w:r>
      <w:r>
        <w:rPr>
          <w:rFonts w:ascii="Times New Roman" w:hAnsi="Times New Roman" w:cs="Times New Roman"/>
          <w:szCs w:val="21"/>
          <w:shd w:val="clear" w:color="auto" w:fill="FFFFFF"/>
        </w:rPr>
        <w:t>) hablan de situaciones en que las esferas bajas (a nivel económico</w:t>
      </w:r>
      <w:r w:rsidR="0095425E">
        <w:rPr>
          <w:rFonts w:ascii="Times New Roman" w:hAnsi="Times New Roman" w:cs="Times New Roman"/>
          <w:szCs w:val="21"/>
          <w:shd w:val="clear" w:color="auto" w:fill="FFFFFF"/>
        </w:rPr>
        <w:t>, sobre todo</w:t>
      </w:r>
      <w:r>
        <w:rPr>
          <w:rFonts w:ascii="Times New Roman" w:hAnsi="Times New Roman" w:cs="Times New Roman"/>
          <w:szCs w:val="21"/>
          <w:shd w:val="clear" w:color="auto" w:fill="FFFFFF"/>
        </w:rPr>
        <w:t xml:space="preserve">), reproducen situaciones de pobreza, aunque les sea asignado un capital económico significativo, es decir, caen en las trampas de la pobreza que hacen que las medidas tomadas por las entidades interventoras (sean públicas o privadas) supongan un mero asistencialismo en que, cuando se acaba el recurso, “¡sálvese quien pueda!”. </w:t>
      </w:r>
    </w:p>
    <w:p w14:paraId="183141F0" w14:textId="77777777" w:rsidR="0095425E" w:rsidRDefault="00D8550C"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Esta situación, según las investigaciones a las cuales se ha tenido acceso a partir de la obra compilada, es un paralelismo en todos los casos en que se proponen</w:t>
      </w:r>
      <w:r w:rsidR="0095425E">
        <w:rPr>
          <w:rFonts w:ascii="Times New Roman" w:hAnsi="Times New Roman" w:cs="Times New Roman"/>
          <w:szCs w:val="21"/>
          <w:shd w:val="clear" w:color="auto" w:fill="FFFFFF"/>
        </w:rPr>
        <w:t xml:space="preserve"> y se ejecutan</w:t>
      </w:r>
      <w:r>
        <w:rPr>
          <w:rFonts w:ascii="Times New Roman" w:hAnsi="Times New Roman" w:cs="Times New Roman"/>
          <w:szCs w:val="21"/>
          <w:shd w:val="clear" w:color="auto" w:fill="FFFFFF"/>
        </w:rPr>
        <w:t xml:space="preserve"> intervenciones en los espacios</w:t>
      </w:r>
      <w:r w:rsidR="0095425E">
        <w:rPr>
          <w:rFonts w:ascii="Times New Roman" w:hAnsi="Times New Roman" w:cs="Times New Roman"/>
          <w:szCs w:val="21"/>
          <w:shd w:val="clear" w:color="auto" w:fill="FFFFFF"/>
        </w:rPr>
        <w:t xml:space="preserve"> geográficos</w:t>
      </w:r>
      <w:r>
        <w:rPr>
          <w:rFonts w:ascii="Times New Roman" w:hAnsi="Times New Roman" w:cs="Times New Roman"/>
          <w:szCs w:val="21"/>
          <w:shd w:val="clear" w:color="auto" w:fill="FFFFFF"/>
        </w:rPr>
        <w:t>, hecho que nos lleva a considerar que las políticas públicas deben ser atendidas a partir de un enfoque de “autoridad ascendente”, es decir, en que la población tenga voz y voto -más allá de las urnas “democráticas”-</w:t>
      </w:r>
      <w:r w:rsidR="00EE7DBD">
        <w:rPr>
          <w:rFonts w:ascii="Times New Roman" w:hAnsi="Times New Roman" w:cs="Times New Roman"/>
          <w:szCs w:val="21"/>
          <w:shd w:val="clear" w:color="auto" w:fill="FFFFFF"/>
        </w:rPr>
        <w:t>, en que las actuaciones sean consensuadas y con un acceso al “capital informativo” ajustado a los “capitales culturales”, con actuaciones ajustadas y decididas por todos los agentes que serán afectados, sea positiva o negativamente.</w:t>
      </w:r>
    </w:p>
    <w:p w14:paraId="0D2AE373" w14:textId="2EE13C15" w:rsidR="00CA6C17" w:rsidRDefault="0095425E"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Las esferas elitistas de la sociedad manejan unas informaciones </w:t>
      </w:r>
      <w:r w:rsidR="00CA6C17">
        <w:rPr>
          <w:rFonts w:ascii="Times New Roman" w:hAnsi="Times New Roman" w:cs="Times New Roman"/>
          <w:szCs w:val="21"/>
          <w:shd w:val="clear" w:color="auto" w:fill="FFFFFF"/>
        </w:rPr>
        <w:t>que,</w:t>
      </w:r>
      <w:r>
        <w:rPr>
          <w:rFonts w:ascii="Times New Roman" w:hAnsi="Times New Roman" w:cs="Times New Roman"/>
          <w:szCs w:val="21"/>
          <w:shd w:val="clear" w:color="auto" w:fill="FFFFFF"/>
        </w:rPr>
        <w:t xml:space="preserve"> si no son acercad</w:t>
      </w:r>
      <w:r w:rsidR="00CA6C17">
        <w:rPr>
          <w:rFonts w:ascii="Times New Roman" w:hAnsi="Times New Roman" w:cs="Times New Roman"/>
          <w:szCs w:val="21"/>
          <w:shd w:val="clear" w:color="auto" w:fill="FFFFFF"/>
        </w:rPr>
        <w:t>a</w:t>
      </w:r>
      <w:r>
        <w:rPr>
          <w:rFonts w:ascii="Times New Roman" w:hAnsi="Times New Roman" w:cs="Times New Roman"/>
          <w:szCs w:val="21"/>
          <w:shd w:val="clear" w:color="auto" w:fill="FFFFFF"/>
        </w:rPr>
        <w:t>s al lenguaje popular, la esfera baja -y siempre más afectada negativamente- no puede llegar al conocimiento de los grados de intervención de las zonas que habitan, de las intervenciones que van a llevar a cabo. Es una especie de firma de contrato a ciegas, de un aprovechamiento de los entes sobre la población. Tal y como manifiestan algunas de las percepciones compiladas, la gente no conseguía estar al tanto de qué iba a pasar, de si iban a despertarse anegados y cuándo, de quién les iba a dar las herramientas básicas para proseguir con su vida, cuándo los iban a desplazar y un sinfín de cuestiones sin respuesta. Además, el hecho de acercar la información a “la cultura de calle” supondría un acceso real a la información, permitiendo que el conocimiento al detalle de todas las cuestiones ambientales, sociales, económicas y técnicas, entre otras, la gente pudiera aportar con conocimiento de causa, evitando ser consumidores de discursos vagos y sueños vacíos, de actuaciones asistencialistas dirigidas, generalmente, a unas indemnizaciones pecuniarias</w:t>
      </w:r>
      <w:r w:rsidR="00CA6C17">
        <w:rPr>
          <w:rFonts w:ascii="Times New Roman" w:hAnsi="Times New Roman" w:cs="Times New Roman"/>
          <w:szCs w:val="21"/>
          <w:shd w:val="clear" w:color="auto" w:fill="FFFFFF"/>
        </w:rPr>
        <w:t xml:space="preserve">. Al respecto de esto último, siguiendo a </w:t>
      </w:r>
      <w:proofErr w:type="spellStart"/>
      <w:r w:rsidR="00CA6C17">
        <w:rPr>
          <w:rFonts w:ascii="Times New Roman" w:hAnsi="Times New Roman" w:cs="Times New Roman"/>
          <w:szCs w:val="21"/>
          <w:shd w:val="clear" w:color="auto" w:fill="FFFFFF"/>
        </w:rPr>
        <w:t>Banerjee</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Duflo</w:t>
      </w:r>
      <w:proofErr w:type="spellEnd"/>
      <w:r w:rsidR="00CA6C17">
        <w:rPr>
          <w:rFonts w:ascii="Times New Roman" w:hAnsi="Times New Roman" w:cs="Times New Roman"/>
          <w:szCs w:val="21"/>
          <w:shd w:val="clear" w:color="auto" w:fill="FFFFFF"/>
        </w:rPr>
        <w:t>, ya sabemos que el dinero en mano de pobres es una trampa de poder</w:t>
      </w:r>
      <w:r w:rsidR="005E3097">
        <w:rPr>
          <w:rFonts w:ascii="Times New Roman" w:hAnsi="Times New Roman" w:cs="Times New Roman"/>
          <w:szCs w:val="21"/>
          <w:shd w:val="clear" w:color="auto" w:fill="FFFFFF"/>
        </w:rPr>
        <w:t xml:space="preserve"> (2014)</w:t>
      </w:r>
      <w:r w:rsidR="00CA6C17">
        <w:rPr>
          <w:rFonts w:ascii="Times New Roman" w:hAnsi="Times New Roman" w:cs="Times New Roman"/>
          <w:szCs w:val="21"/>
          <w:shd w:val="clear" w:color="auto" w:fill="FFFFFF"/>
        </w:rPr>
        <w:t>.</w:t>
      </w:r>
    </w:p>
    <w:p w14:paraId="35218CA5" w14:textId="206EF72B" w:rsidR="00EE7DBD" w:rsidRDefault="00CA6C17"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Entendamos esta trampa de poder en la generación de una idea de “tengo acceso a…”, pero que, llegado el fin de los recursos monetarios, se será consciente de la mala inversión realizada de esos fondos. Sin embargo, a pesar de quedar al azar en un estado de precariedad -sin casa, sin trabajo y sin dinero- las políticas públicas -o empresariales- habrán agotado su función tangible, que era responder a la expropiación con un “precio </w:t>
      </w:r>
      <w:r>
        <w:rPr>
          <w:rFonts w:ascii="Times New Roman" w:hAnsi="Times New Roman" w:cs="Times New Roman"/>
          <w:szCs w:val="21"/>
          <w:shd w:val="clear" w:color="auto" w:fill="FFFFFF"/>
        </w:rPr>
        <w:lastRenderedPageBreak/>
        <w:t>justo” por el territorio.</w:t>
      </w:r>
      <w:r w:rsidR="00CB0243">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He aquí, por tanto, una de las tantas cuestiones que se repiten sistemáticamente a lo largo de las investigaciones analizadas y que urgentemente necesitan una intervención más allá de lo tangible con medidas apropiadas -e invulnerables-.</w:t>
      </w:r>
    </w:p>
    <w:p w14:paraId="574B6C55" w14:textId="787EBC70" w:rsidR="00EE7DBD" w:rsidRDefault="00EE7DBD"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Pongamos por ejemplo el caso que nos toca de cerca, que es el encarnaceno. </w:t>
      </w:r>
      <w:proofErr w:type="spellStart"/>
      <w:r>
        <w:rPr>
          <w:rFonts w:ascii="Times New Roman" w:hAnsi="Times New Roman" w:cs="Times New Roman"/>
          <w:szCs w:val="21"/>
          <w:shd w:val="clear" w:color="auto" w:fill="FFFFFF"/>
        </w:rPr>
        <w:t>Yacyretá</w:t>
      </w:r>
      <w:proofErr w:type="spellEnd"/>
      <w:r>
        <w:rPr>
          <w:rFonts w:ascii="Times New Roman" w:hAnsi="Times New Roman" w:cs="Times New Roman"/>
          <w:szCs w:val="21"/>
          <w:shd w:val="clear" w:color="auto" w:fill="FFFFFF"/>
        </w:rPr>
        <w:t xml:space="preserve"> se llevó a cabo, según manifiestan las investigaciones, con cierto trasfondo invisible. El caso cuenta que mientras la población estaba distraída en un evento </w:t>
      </w:r>
      <w:r w:rsidR="000A51BB">
        <w:rPr>
          <w:rFonts w:ascii="Times New Roman" w:hAnsi="Times New Roman" w:cs="Times New Roman"/>
          <w:szCs w:val="21"/>
          <w:shd w:val="clear" w:color="auto" w:fill="FFFFFF"/>
        </w:rPr>
        <w:t>en el aeródromo de Colonias Unidas en el año 2010</w:t>
      </w:r>
      <w:r>
        <w:rPr>
          <w:rFonts w:ascii="Times New Roman" w:hAnsi="Times New Roman" w:cs="Times New Roman"/>
          <w:szCs w:val="21"/>
          <w:shd w:val="clear" w:color="auto" w:fill="FFFFFF"/>
        </w:rPr>
        <w:t>, las obras fueron directas a intervenir un patrimonio cultural como la Estación del Ferrocarril, punto emblemático para la historia de la ciudad de Encarnación. En ese proceso de intervención, ninguna autoridad fue capaz de asumir las responsabilidades, si bien la población consiguió “salvar” el patrimonio cultural con distintas afecciones que, sin suponer un hecho tangible, dolió en la conciencia de los antiguos moradores de la zona por el descuidado en el tratamiento de un bien preciado.</w:t>
      </w:r>
    </w:p>
    <w:p w14:paraId="4ADBE23C" w14:textId="4EA46297" w:rsidR="00EE7DBD" w:rsidRDefault="00EE7DBD"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Otro ejemplo es el ocurrido en Brasil y </w:t>
      </w:r>
      <w:r w:rsidR="000A51BB">
        <w:rPr>
          <w:rFonts w:ascii="Times New Roman" w:hAnsi="Times New Roman" w:cs="Times New Roman"/>
          <w:szCs w:val="21"/>
          <w:shd w:val="clear" w:color="auto" w:fill="FFFFFF"/>
        </w:rPr>
        <w:t xml:space="preserve">Salto da Divisa con la UHE </w:t>
      </w:r>
      <w:proofErr w:type="spellStart"/>
      <w:r w:rsidR="000A51BB">
        <w:rPr>
          <w:rFonts w:ascii="Times New Roman" w:hAnsi="Times New Roman" w:cs="Times New Roman"/>
          <w:szCs w:val="21"/>
          <w:shd w:val="clear" w:color="auto" w:fill="FFFFFF"/>
        </w:rPr>
        <w:t>Itapebi</w:t>
      </w:r>
      <w:proofErr w:type="spellEnd"/>
      <w:r>
        <w:rPr>
          <w:rFonts w:ascii="Times New Roman" w:hAnsi="Times New Roman" w:cs="Times New Roman"/>
          <w:szCs w:val="21"/>
          <w:shd w:val="clear" w:color="auto" w:fill="FFFFFF"/>
        </w:rPr>
        <w:t>. Aquello resuelto de manera participativa mediante normativas, del día a la noche -muy bien acertada la frase hecha porque el acuerdo se firmó a medianoche- se cambiaron los términos acordados -de manera participativa, importante recalcar- para ajustarlo al beneficio de una esfera alta que no demostró ninguna capacidad de resiliencia hacia la población que iba a ser intervenida.</w:t>
      </w:r>
    </w:p>
    <w:p w14:paraId="6180A5DE" w14:textId="2387151E" w:rsidR="00136182" w:rsidRDefault="00EE7DBD"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Por tanto, podemos ir dando respuesta a las preguntas que planteábamos al inicio del artículo: el desarrollo que se propone es para las élites promotoras, con acciones de desarrollo a costa de la vida de “los otros” que no son otra parte de la relación que se establece en el desarrollo sino que son agentes dentro de los procesos de desarrollo (Cañete, 2017</w:t>
      </w:r>
      <w:r w:rsidR="005E3097">
        <w:rPr>
          <w:rFonts w:ascii="Times New Roman" w:hAnsi="Times New Roman" w:cs="Times New Roman"/>
          <w:szCs w:val="21"/>
          <w:shd w:val="clear" w:color="auto" w:fill="FFFFFF"/>
        </w:rPr>
        <w:t xml:space="preserve">, en </w:t>
      </w:r>
      <w:proofErr w:type="spellStart"/>
      <w:r w:rsidR="005E3097">
        <w:rPr>
          <w:rFonts w:ascii="Times New Roman" w:hAnsi="Times New Roman" w:cs="Times New Roman"/>
          <w:szCs w:val="21"/>
          <w:shd w:val="clear" w:color="auto" w:fill="FFFFFF"/>
        </w:rPr>
        <w:t>Brites</w:t>
      </w:r>
      <w:proofErr w:type="spellEnd"/>
      <w:r w:rsidR="005E3097">
        <w:rPr>
          <w:rFonts w:ascii="Times New Roman" w:hAnsi="Times New Roman" w:cs="Times New Roman"/>
          <w:szCs w:val="21"/>
          <w:shd w:val="clear" w:color="auto" w:fill="FFFFFF"/>
        </w:rPr>
        <w:t xml:space="preserve"> y </w:t>
      </w:r>
      <w:proofErr w:type="spellStart"/>
      <w:r w:rsidR="005E3097">
        <w:rPr>
          <w:rFonts w:ascii="Times New Roman" w:hAnsi="Times New Roman" w:cs="Times New Roman"/>
          <w:szCs w:val="21"/>
          <w:shd w:val="clear" w:color="auto" w:fill="FFFFFF"/>
        </w:rPr>
        <w:t>Catullo</w:t>
      </w:r>
      <w:proofErr w:type="spellEnd"/>
      <w:r w:rsidR="005E3097">
        <w:rPr>
          <w:rFonts w:ascii="Times New Roman" w:hAnsi="Times New Roman" w:cs="Times New Roman"/>
          <w:szCs w:val="21"/>
          <w:shd w:val="clear" w:color="auto" w:fill="FFFFFF"/>
        </w:rPr>
        <w:t>, 2017:</w:t>
      </w:r>
      <w:r w:rsidR="006260C5">
        <w:rPr>
          <w:rFonts w:ascii="Times New Roman" w:hAnsi="Times New Roman" w:cs="Times New Roman"/>
          <w:szCs w:val="21"/>
          <w:shd w:val="clear" w:color="auto" w:fill="FFFFFF"/>
        </w:rPr>
        <w:t>273</w:t>
      </w:r>
      <w:r>
        <w:rPr>
          <w:rFonts w:ascii="Times New Roman" w:hAnsi="Times New Roman" w:cs="Times New Roman"/>
          <w:szCs w:val="21"/>
          <w:shd w:val="clear" w:color="auto" w:fill="FFFFFF"/>
        </w:rPr>
        <w:t>) y</w:t>
      </w:r>
      <w:r w:rsidR="00136182">
        <w:rPr>
          <w:rFonts w:ascii="Times New Roman" w:hAnsi="Times New Roman" w:cs="Times New Roman"/>
          <w:szCs w:val="21"/>
          <w:shd w:val="clear" w:color="auto" w:fill="FFFFFF"/>
        </w:rPr>
        <w:t xml:space="preserve"> estableciendo soluciones -parcialmente expuesto en este artículo- que no serán capaces de resolver situaciones y carencias a medio y largo plazo -incluso en algunos casos tampoco a corto plazo-.</w:t>
      </w:r>
    </w:p>
    <w:p w14:paraId="12EAB790" w14:textId="02DC7A43" w:rsidR="00136182" w:rsidRPr="00CA6C17" w:rsidRDefault="00860CF4" w:rsidP="00C73387">
      <w:pPr>
        <w:spacing w:line="240" w:lineRule="auto"/>
        <w:jc w:val="left"/>
        <w:rPr>
          <w:rFonts w:ascii="Times New Roman" w:hAnsi="Times New Roman" w:cs="Times New Roman"/>
          <w:b/>
          <w:szCs w:val="21"/>
          <w:shd w:val="clear" w:color="auto" w:fill="FFFFFF"/>
        </w:rPr>
      </w:pPr>
      <w:r>
        <w:rPr>
          <w:rFonts w:ascii="Times New Roman" w:hAnsi="Times New Roman" w:cs="Times New Roman"/>
          <w:b/>
          <w:szCs w:val="21"/>
          <w:shd w:val="clear" w:color="auto" w:fill="FFFFFF"/>
        </w:rPr>
        <w:t xml:space="preserve">3) </w:t>
      </w:r>
      <w:r w:rsidR="00136182" w:rsidRPr="00CA6C17">
        <w:rPr>
          <w:rFonts w:ascii="Times New Roman" w:hAnsi="Times New Roman" w:cs="Times New Roman"/>
          <w:b/>
          <w:szCs w:val="21"/>
          <w:shd w:val="clear" w:color="auto" w:fill="FFFFFF"/>
        </w:rPr>
        <w:t>Soluciones dirigidas al “pan para hoy, hambre para mañana”</w:t>
      </w:r>
    </w:p>
    <w:p w14:paraId="7A4AEDCE" w14:textId="33599F4D" w:rsidR="00264938" w:rsidRDefault="00136182"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A pesar de ser definidas las intervenciones como “desarrollo y prosperidad” que deberían erradicar el hambre, la pobreza y las desigualdades sociales; garantizar el acceso a los derechos humanos con la universalización de la salud pública y el acceso a la educación entre otros; valorizar y promover el respeto a la diversidad cultural y étnica o asegurar el acceso al trabajo decente y a los derechos de previsión social, las investigaciones mencionadas hacen alusión a situaciones totalmente contrarias</w:t>
      </w:r>
      <w:r w:rsidR="00D8550C">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a estos propósitos.</w:t>
      </w:r>
    </w:p>
    <w:p w14:paraId="46070204" w14:textId="77777777" w:rsidR="006260C5" w:rsidRDefault="00860CF4" w:rsidP="00C73387">
      <w:pPr>
        <w:spacing w:line="240" w:lineRule="auto"/>
        <w:jc w:val="left"/>
        <w:rPr>
          <w:rFonts w:ascii="Times New Roman" w:hAnsi="Times New Roman" w:cs="Times New Roman"/>
          <w:b/>
          <w:szCs w:val="21"/>
          <w:shd w:val="clear" w:color="auto" w:fill="FFFFFF"/>
        </w:rPr>
      </w:pPr>
      <w:r w:rsidRPr="006260C5">
        <w:rPr>
          <w:rFonts w:ascii="Times New Roman" w:hAnsi="Times New Roman" w:cs="Times New Roman"/>
          <w:b/>
          <w:szCs w:val="21"/>
          <w:shd w:val="clear" w:color="auto" w:fill="FFFFFF"/>
        </w:rPr>
        <w:t>3.</w:t>
      </w:r>
      <w:r w:rsidR="00113DFD" w:rsidRPr="006260C5">
        <w:rPr>
          <w:rFonts w:ascii="Times New Roman" w:hAnsi="Times New Roman" w:cs="Times New Roman"/>
          <w:b/>
          <w:szCs w:val="21"/>
          <w:shd w:val="clear" w:color="auto" w:fill="FFFFFF"/>
        </w:rPr>
        <w:t>1)</w:t>
      </w:r>
      <w:r w:rsidR="006260C5">
        <w:rPr>
          <w:rFonts w:ascii="Times New Roman" w:hAnsi="Times New Roman" w:cs="Times New Roman"/>
          <w:szCs w:val="21"/>
          <w:shd w:val="clear" w:color="auto" w:fill="FFFFFF"/>
        </w:rPr>
        <w:t xml:space="preserve"> </w:t>
      </w:r>
      <w:r w:rsidR="006260C5">
        <w:rPr>
          <w:rFonts w:ascii="Times New Roman" w:hAnsi="Times New Roman" w:cs="Times New Roman"/>
          <w:b/>
          <w:szCs w:val="21"/>
          <w:shd w:val="clear" w:color="auto" w:fill="FFFFFF"/>
        </w:rPr>
        <w:t>Encarnación:</w:t>
      </w:r>
    </w:p>
    <w:p w14:paraId="35435056" w14:textId="6E8A2DAC" w:rsidR="00ED71A3" w:rsidRDefault="00ED71A3"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En el caso de </w:t>
      </w:r>
      <w:r w:rsidR="00136182">
        <w:rPr>
          <w:rFonts w:ascii="Times New Roman" w:hAnsi="Times New Roman" w:cs="Times New Roman"/>
          <w:szCs w:val="21"/>
          <w:shd w:val="clear" w:color="auto" w:fill="FFFFFF"/>
        </w:rPr>
        <w:t>Encarnación</w:t>
      </w:r>
      <w:r>
        <w:rPr>
          <w:rFonts w:ascii="Times New Roman" w:hAnsi="Times New Roman" w:cs="Times New Roman"/>
          <w:szCs w:val="21"/>
          <w:shd w:val="clear" w:color="auto" w:fill="FFFFFF"/>
        </w:rPr>
        <w:t xml:space="preserve"> podemos hablar de la</w:t>
      </w:r>
      <w:r w:rsidR="00136182">
        <w:rPr>
          <w:rFonts w:ascii="Times New Roman" w:hAnsi="Times New Roman" w:cs="Times New Roman"/>
          <w:szCs w:val="21"/>
          <w:shd w:val="clear" w:color="auto" w:fill="FFFFFF"/>
        </w:rPr>
        <w:t xml:space="preserve"> creación de complejos habitacionales</w:t>
      </w:r>
      <w:r>
        <w:rPr>
          <w:rFonts w:ascii="Times New Roman" w:hAnsi="Times New Roman" w:cs="Times New Roman"/>
          <w:szCs w:val="21"/>
          <w:shd w:val="clear" w:color="auto" w:fill="FFFFFF"/>
        </w:rPr>
        <w:t xml:space="preserve"> fuera de los espacios urbanos, que si bien generaron algunos espacios orientados hacia “el desarrollo” con beneficios de acceso a servicios de salud o de esparcimiento -tangibles-</w:t>
      </w:r>
      <w:r w:rsidR="00136182">
        <w:rPr>
          <w:rFonts w:ascii="Times New Roman" w:hAnsi="Times New Roman" w:cs="Times New Roman"/>
          <w:szCs w:val="21"/>
          <w:shd w:val="clear" w:color="auto" w:fill="FFFFFF"/>
        </w:rPr>
        <w:t>,</w:t>
      </w:r>
      <w:r>
        <w:rPr>
          <w:rFonts w:ascii="Times New Roman" w:hAnsi="Times New Roman" w:cs="Times New Roman"/>
          <w:szCs w:val="21"/>
          <w:shd w:val="clear" w:color="auto" w:fill="FFFFFF"/>
        </w:rPr>
        <w:t xml:space="preserve"> también ocasionaron</w:t>
      </w:r>
      <w:r w:rsidR="00136182">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 xml:space="preserve">la </w:t>
      </w:r>
      <w:r w:rsidR="00136182">
        <w:rPr>
          <w:rFonts w:ascii="Times New Roman" w:hAnsi="Times New Roman" w:cs="Times New Roman"/>
          <w:szCs w:val="21"/>
          <w:shd w:val="clear" w:color="auto" w:fill="FFFFFF"/>
        </w:rPr>
        <w:t xml:space="preserve">pérdida de </w:t>
      </w:r>
      <w:r>
        <w:rPr>
          <w:rFonts w:ascii="Times New Roman" w:hAnsi="Times New Roman" w:cs="Times New Roman"/>
          <w:szCs w:val="21"/>
          <w:shd w:val="clear" w:color="auto" w:fill="FFFFFF"/>
        </w:rPr>
        <w:t xml:space="preserve">las </w:t>
      </w:r>
      <w:r w:rsidR="00136182">
        <w:rPr>
          <w:rFonts w:ascii="Times New Roman" w:hAnsi="Times New Roman" w:cs="Times New Roman"/>
          <w:szCs w:val="21"/>
          <w:shd w:val="clear" w:color="auto" w:fill="FFFFFF"/>
        </w:rPr>
        <w:t>formas de sustento</w:t>
      </w:r>
      <w:r>
        <w:rPr>
          <w:rFonts w:ascii="Times New Roman" w:hAnsi="Times New Roman" w:cs="Times New Roman"/>
          <w:szCs w:val="21"/>
          <w:shd w:val="clear" w:color="auto" w:fill="FFFFFF"/>
        </w:rPr>
        <w:t xml:space="preserve"> como ocurría con las personas moradoras de la</w:t>
      </w:r>
      <w:r w:rsidR="00136182">
        <w:rPr>
          <w:rFonts w:ascii="Times New Roman" w:hAnsi="Times New Roman" w:cs="Times New Roman"/>
          <w:szCs w:val="21"/>
          <w:shd w:val="clear" w:color="auto" w:fill="FFFFFF"/>
        </w:rPr>
        <w:t xml:space="preserve"> zona baja </w:t>
      </w:r>
      <w:r>
        <w:rPr>
          <w:rFonts w:ascii="Times New Roman" w:hAnsi="Times New Roman" w:cs="Times New Roman"/>
          <w:szCs w:val="21"/>
          <w:shd w:val="clear" w:color="auto" w:fill="FFFFFF"/>
        </w:rPr>
        <w:t>donde se realizaban actividades como la pesca, la olería, se pasaban mercancías, etc. Esa situación de relocalización en los complejos habitacionales conllevó la carencia de trabajo por razones como la distancia desde la nueva ubicación hasta las zonas tradicionales de comercio-trabajo, la dificultad en algunos casos de desplazamiento por el estado de los pavimentos, suponiendo en última instancia la creación de unas zonas “</w:t>
      </w:r>
      <w:proofErr w:type="spellStart"/>
      <w:r>
        <w:rPr>
          <w:rFonts w:ascii="Times New Roman" w:hAnsi="Times New Roman" w:cs="Times New Roman"/>
          <w:szCs w:val="21"/>
          <w:shd w:val="clear" w:color="auto" w:fill="FFFFFF"/>
        </w:rPr>
        <w:t>guetizadas</w:t>
      </w:r>
      <w:proofErr w:type="spellEnd"/>
      <w:r>
        <w:rPr>
          <w:rFonts w:ascii="Times New Roman" w:hAnsi="Times New Roman" w:cs="Times New Roman"/>
          <w:szCs w:val="21"/>
          <w:shd w:val="clear" w:color="auto" w:fill="FFFFFF"/>
        </w:rPr>
        <w:t xml:space="preserve">”/marginales en que no solo se pierden </w:t>
      </w:r>
      <w:r>
        <w:rPr>
          <w:rFonts w:ascii="Times New Roman" w:hAnsi="Times New Roman" w:cs="Times New Roman"/>
          <w:szCs w:val="21"/>
          <w:shd w:val="clear" w:color="auto" w:fill="FFFFFF"/>
        </w:rPr>
        <w:lastRenderedPageBreak/>
        <w:t>los accesos a bienes económicos, sino que se creó una situación de aislamiento social, de pesadumbre constante, de desubicación -intangible-.</w:t>
      </w:r>
    </w:p>
    <w:p w14:paraId="7ECDD007" w14:textId="59807207" w:rsidR="00ED71A3" w:rsidRDefault="00ED71A3"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Por si fuera poco, ante esta situación de incertidumbre, del pasado al presente y los cambios generados, aparece la cuestión patrimonial que ya adelantábamos. En Encarnación, tal y como recuperan las investigaciones, no solo se trabajaba a “hurtadillas”, sino que, en el cuidado del patrimonio, en la gestión de las raíces, de la historia de la ciudad y sus habitantes, hubo más bien una situación de descuidado a pesar de la intervención de la Secretaría Nacional de Cultura y de la Municipalidad de Encarnación. </w:t>
      </w:r>
    </w:p>
    <w:p w14:paraId="77EF5653" w14:textId="2800217F" w:rsidR="00E5637B" w:rsidRDefault="00ED71A3"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Tal y como cuentan las investigaciones, el tratamiento de los bienes patrimoniales debe seguir un curso </w:t>
      </w:r>
      <w:r w:rsidR="00E5637B">
        <w:rPr>
          <w:rFonts w:ascii="Times New Roman" w:hAnsi="Times New Roman" w:cs="Times New Roman"/>
          <w:szCs w:val="21"/>
          <w:shd w:val="clear" w:color="auto" w:fill="FFFFFF"/>
        </w:rPr>
        <w:t>basado en la “</w:t>
      </w:r>
      <w:proofErr w:type="spellStart"/>
      <w:r w:rsidR="00E5637B">
        <w:rPr>
          <w:rFonts w:ascii="Times New Roman" w:hAnsi="Times New Roman" w:cs="Times New Roman"/>
          <w:szCs w:val="21"/>
          <w:shd w:val="clear" w:color="auto" w:fill="FFFFFF"/>
        </w:rPr>
        <w:t>anastilosis</w:t>
      </w:r>
      <w:proofErr w:type="spellEnd"/>
      <w:r w:rsidR="00E5637B">
        <w:rPr>
          <w:rFonts w:ascii="Times New Roman" w:hAnsi="Times New Roman" w:cs="Times New Roman"/>
          <w:szCs w:val="21"/>
          <w:shd w:val="clear" w:color="auto" w:fill="FFFFFF"/>
        </w:rPr>
        <w:t>” (Carísimo, 2017</w:t>
      </w:r>
      <w:r w:rsidR="006260C5">
        <w:rPr>
          <w:rFonts w:ascii="Times New Roman" w:hAnsi="Times New Roman" w:cs="Times New Roman"/>
          <w:szCs w:val="21"/>
          <w:shd w:val="clear" w:color="auto" w:fill="FFFFFF"/>
        </w:rPr>
        <w:t xml:space="preserve"> en </w:t>
      </w:r>
      <w:proofErr w:type="spellStart"/>
      <w:r w:rsidR="006260C5">
        <w:rPr>
          <w:rFonts w:ascii="Times New Roman" w:hAnsi="Times New Roman" w:cs="Times New Roman"/>
          <w:szCs w:val="21"/>
          <w:shd w:val="clear" w:color="auto" w:fill="FFFFFF"/>
        </w:rPr>
        <w:t>Brites</w:t>
      </w:r>
      <w:proofErr w:type="spellEnd"/>
      <w:r w:rsidR="006260C5">
        <w:rPr>
          <w:rFonts w:ascii="Times New Roman" w:hAnsi="Times New Roman" w:cs="Times New Roman"/>
          <w:szCs w:val="21"/>
          <w:shd w:val="clear" w:color="auto" w:fill="FFFFFF"/>
        </w:rPr>
        <w:t xml:space="preserve"> y </w:t>
      </w:r>
      <w:proofErr w:type="spellStart"/>
      <w:r w:rsidR="006260C5">
        <w:rPr>
          <w:rFonts w:ascii="Times New Roman" w:hAnsi="Times New Roman" w:cs="Times New Roman"/>
          <w:szCs w:val="21"/>
          <w:shd w:val="clear" w:color="auto" w:fill="FFFFFF"/>
        </w:rPr>
        <w:t>Catullo</w:t>
      </w:r>
      <w:proofErr w:type="spellEnd"/>
      <w:r w:rsidR="006260C5">
        <w:rPr>
          <w:rFonts w:ascii="Times New Roman" w:hAnsi="Times New Roman" w:cs="Times New Roman"/>
          <w:szCs w:val="21"/>
          <w:shd w:val="clear" w:color="auto" w:fill="FFFFFF"/>
        </w:rPr>
        <w:t>, 2017:203</w:t>
      </w:r>
      <w:r w:rsidR="00E5637B">
        <w:rPr>
          <w:rFonts w:ascii="Times New Roman" w:hAnsi="Times New Roman" w:cs="Times New Roman"/>
          <w:szCs w:val="21"/>
          <w:shd w:val="clear" w:color="auto" w:fill="FFFFFF"/>
        </w:rPr>
        <w:t>). En esta ocasión, la investigadora sostiene que se hizo “para darnos el gusto”, como técnica de silenciado y sin atender a ninguna cuestión técnica que realmente trabajara por preservar el patrimonio cultural. Cuentan los testimonios que se trabajó “</w:t>
      </w:r>
      <w:proofErr w:type="spellStart"/>
      <w:r w:rsidR="00E5637B">
        <w:rPr>
          <w:rFonts w:ascii="Times New Roman" w:hAnsi="Times New Roman" w:cs="Times New Roman"/>
          <w:szCs w:val="21"/>
          <w:shd w:val="clear" w:color="auto" w:fill="FFFFFF"/>
        </w:rPr>
        <w:t>vai</w:t>
      </w:r>
      <w:proofErr w:type="spellEnd"/>
      <w:r w:rsidR="00E5637B">
        <w:rPr>
          <w:rFonts w:ascii="Times New Roman" w:hAnsi="Times New Roman" w:cs="Times New Roman"/>
          <w:szCs w:val="21"/>
          <w:shd w:val="clear" w:color="auto" w:fill="FFFFFF"/>
        </w:rPr>
        <w:t xml:space="preserve"> </w:t>
      </w:r>
      <w:proofErr w:type="spellStart"/>
      <w:r w:rsidR="00E5637B">
        <w:rPr>
          <w:rFonts w:ascii="Times New Roman" w:hAnsi="Times New Roman" w:cs="Times New Roman"/>
          <w:szCs w:val="21"/>
          <w:shd w:val="clear" w:color="auto" w:fill="FFFFFF"/>
        </w:rPr>
        <w:t>vai</w:t>
      </w:r>
      <w:proofErr w:type="spellEnd"/>
      <w:r w:rsidR="00E5637B">
        <w:rPr>
          <w:rFonts w:ascii="Times New Roman" w:hAnsi="Times New Roman" w:cs="Times New Roman"/>
          <w:szCs w:val="21"/>
          <w:shd w:val="clear" w:color="auto" w:fill="FFFFFF"/>
        </w:rPr>
        <w:t>”, en que los obreros, por ejemplo, ubicaron las piedras y ladrillos sin ningún tipo de identificación o información para replicarlo nuevamente en su nuevo emplazamiento.</w:t>
      </w:r>
    </w:p>
    <w:p w14:paraId="4D032618" w14:textId="2F323020" w:rsidR="00113DFD" w:rsidRDefault="00E5637B"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Asistimos con esta situación, no sabemos si de manera premeditada o no, a la destrucción de las conciencias y sentimientos de pertenencia, una de las formas de poder reconocida y utilizada en ocasiones tales como las guerras -por </w:t>
      </w:r>
      <w:r w:rsidR="00113DFD">
        <w:rPr>
          <w:rFonts w:ascii="Times New Roman" w:hAnsi="Times New Roman" w:cs="Times New Roman"/>
          <w:szCs w:val="21"/>
          <w:shd w:val="clear" w:color="auto" w:fill="FFFFFF"/>
        </w:rPr>
        <w:t>ejemplo,</w:t>
      </w:r>
      <w:r>
        <w:rPr>
          <w:rFonts w:ascii="Times New Roman" w:hAnsi="Times New Roman" w:cs="Times New Roman"/>
          <w:szCs w:val="21"/>
          <w:shd w:val="clear" w:color="auto" w:fill="FFFFFF"/>
        </w:rPr>
        <w:t xml:space="preserve"> en los campos de exterminio nazi con la unificación del corte de pelo- </w:t>
      </w:r>
      <w:r w:rsidR="00113DFD">
        <w:rPr>
          <w:rFonts w:ascii="Times New Roman" w:hAnsi="Times New Roman" w:cs="Times New Roman"/>
          <w:szCs w:val="21"/>
          <w:shd w:val="clear" w:color="auto" w:fill="FFFFFF"/>
        </w:rPr>
        <w:t>o la denominación de las personas extranjeras -sobre todo en “el primer mundo”- a las que le asignan un “número de identificación” y no un “documento de identidad”.</w:t>
      </w:r>
    </w:p>
    <w:p w14:paraId="79917824" w14:textId="77777777" w:rsidR="006260C5" w:rsidRPr="006260C5" w:rsidRDefault="00860CF4" w:rsidP="00C73387">
      <w:pPr>
        <w:spacing w:line="240" w:lineRule="auto"/>
        <w:jc w:val="left"/>
        <w:rPr>
          <w:rFonts w:ascii="Times New Roman" w:hAnsi="Times New Roman" w:cs="Times New Roman"/>
          <w:b/>
          <w:szCs w:val="21"/>
          <w:shd w:val="clear" w:color="auto" w:fill="FFFFFF"/>
        </w:rPr>
      </w:pPr>
      <w:r w:rsidRPr="006260C5">
        <w:rPr>
          <w:rFonts w:ascii="Times New Roman" w:hAnsi="Times New Roman" w:cs="Times New Roman"/>
          <w:b/>
          <w:szCs w:val="21"/>
          <w:shd w:val="clear" w:color="auto" w:fill="FFFFFF"/>
        </w:rPr>
        <w:t>3.</w:t>
      </w:r>
      <w:r w:rsidR="00113DFD" w:rsidRPr="006260C5">
        <w:rPr>
          <w:rFonts w:ascii="Times New Roman" w:hAnsi="Times New Roman" w:cs="Times New Roman"/>
          <w:b/>
          <w:szCs w:val="21"/>
          <w:shd w:val="clear" w:color="auto" w:fill="FFFFFF"/>
        </w:rPr>
        <w:t>2)</w:t>
      </w:r>
      <w:r w:rsidR="006260C5" w:rsidRPr="006260C5">
        <w:rPr>
          <w:rFonts w:ascii="Times New Roman" w:hAnsi="Times New Roman" w:cs="Times New Roman"/>
          <w:b/>
          <w:szCs w:val="21"/>
          <w:shd w:val="clear" w:color="auto" w:fill="FFFFFF"/>
        </w:rPr>
        <w:t xml:space="preserve"> Neuquén</w:t>
      </w:r>
    </w:p>
    <w:p w14:paraId="3FF2AD68" w14:textId="5CBAE706" w:rsidR="00113DFD" w:rsidRDefault="00113DFD"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En el caso de Neuquén, las investigaciones citan afectaciones similares a las encarnacenas. La inundación de las tierras de cultivo y pastoreo afectaron a los empleos y a los ingresos de las familias, además de desarticular las redes sociales y la pérdida del centro urbano. Las percepciones recogidas en la investigación aluden a la dificultad de acceso a las informaciones sobre los procedimientos por la construcción de la represa, la generación de un estado de incertidumbre en las poblaciones que podrían ser afectadas y la adversidad por parte de las personas más adultas que se contradice con la juventud. Esta situación tiene que ver con la pirámide de Maslow en que las personas adultas consideran que ya han alcanzado su plenitud y han cumplido con su rol social, mientras que la juventud ansía ampliar horizontes para llegar a la satisfacción y reconocimiento por cumplir con su rol. Por tanto, otro factor que hasta ahora no había surgido es la creación de conflictos no solo entre la sociedad y las autoridades interventoras, sino dentro del propio núcleo social, pudiendo ocasionar conflictos internos en beneficio de los interventores -similar a lo ocurrido en Encarnación aquel año 2010-.</w:t>
      </w:r>
    </w:p>
    <w:p w14:paraId="49CEF92A" w14:textId="096DB3CC" w:rsidR="00136182" w:rsidRDefault="00113DFD"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También sufrieron en el proceso comunidades como los mapuches, cuestión que tiene íntima relación con lo que mencionábamos de la distinción por etnia o raza. No solo </w:t>
      </w:r>
      <w:r w:rsidR="00E3457B">
        <w:rPr>
          <w:rFonts w:ascii="Times New Roman" w:hAnsi="Times New Roman" w:cs="Times New Roman"/>
          <w:szCs w:val="21"/>
          <w:shd w:val="clear" w:color="auto" w:fill="FFFFFF"/>
        </w:rPr>
        <w:t>sufren procesos discriminativos que minan más aún su situación en la sociedad, sino que se ven afectados con mayor intensidad porque son la “otra cara de los otros”. Sin embargo, tal y como recogen los postulados que salvaguardan los patrimonios y los derechos, deberían ser tratados -al igual que los moradores rurales- como una forma de preservación de las raíces. No son personas fuera de los circuitos sociales, sino que son personas con sus circuitos sociales que no están amparados por la norma socialmente establecida.</w:t>
      </w:r>
    </w:p>
    <w:p w14:paraId="48DCE250" w14:textId="77777777" w:rsidR="006260C5" w:rsidRDefault="00860CF4" w:rsidP="00C73387">
      <w:pPr>
        <w:spacing w:line="240" w:lineRule="auto"/>
        <w:jc w:val="left"/>
        <w:rPr>
          <w:rFonts w:ascii="Times New Roman" w:hAnsi="Times New Roman" w:cs="Times New Roman"/>
          <w:szCs w:val="21"/>
          <w:shd w:val="clear" w:color="auto" w:fill="FFFFFF"/>
        </w:rPr>
      </w:pPr>
      <w:r w:rsidRPr="006260C5">
        <w:rPr>
          <w:rFonts w:ascii="Times New Roman" w:hAnsi="Times New Roman" w:cs="Times New Roman"/>
          <w:b/>
          <w:szCs w:val="21"/>
          <w:shd w:val="clear" w:color="auto" w:fill="FFFFFF"/>
        </w:rPr>
        <w:lastRenderedPageBreak/>
        <w:t>3.</w:t>
      </w:r>
      <w:r w:rsidR="00E3457B" w:rsidRPr="006260C5">
        <w:rPr>
          <w:rFonts w:ascii="Times New Roman" w:hAnsi="Times New Roman" w:cs="Times New Roman"/>
          <w:b/>
          <w:szCs w:val="21"/>
          <w:shd w:val="clear" w:color="auto" w:fill="FFFFFF"/>
        </w:rPr>
        <w:t>3)</w:t>
      </w:r>
      <w:r w:rsidR="006260C5" w:rsidRPr="006260C5">
        <w:rPr>
          <w:rFonts w:ascii="Times New Roman" w:hAnsi="Times New Roman" w:cs="Times New Roman"/>
          <w:b/>
          <w:szCs w:val="21"/>
          <w:shd w:val="clear" w:color="auto" w:fill="FFFFFF"/>
        </w:rPr>
        <w:t xml:space="preserve"> Foz de</w:t>
      </w:r>
      <w:r w:rsidR="006260C5">
        <w:rPr>
          <w:rFonts w:ascii="Times New Roman" w:hAnsi="Times New Roman" w:cs="Times New Roman"/>
          <w:szCs w:val="21"/>
          <w:shd w:val="clear" w:color="auto" w:fill="FFFFFF"/>
        </w:rPr>
        <w:t xml:space="preserve"> </w:t>
      </w:r>
      <w:r w:rsidR="006260C5" w:rsidRPr="006260C5">
        <w:rPr>
          <w:rFonts w:ascii="Times New Roman" w:hAnsi="Times New Roman" w:cs="Times New Roman"/>
          <w:b/>
          <w:szCs w:val="21"/>
          <w:shd w:val="clear" w:color="auto" w:fill="FFFFFF"/>
        </w:rPr>
        <w:t>Chapecó</w:t>
      </w:r>
    </w:p>
    <w:p w14:paraId="26B91655" w14:textId="5CE2F792" w:rsidR="00CB0243" w:rsidRDefault="00E3457B"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Cuando hacemos referencia a </w:t>
      </w:r>
      <w:r w:rsidR="00CB0243">
        <w:rPr>
          <w:rFonts w:ascii="Times New Roman" w:hAnsi="Times New Roman" w:cs="Times New Roman"/>
          <w:szCs w:val="21"/>
          <w:shd w:val="clear" w:color="auto" w:fill="FFFFFF"/>
        </w:rPr>
        <w:t>Foz de Chapecó</w:t>
      </w:r>
      <w:r>
        <w:rPr>
          <w:rFonts w:ascii="Times New Roman" w:hAnsi="Times New Roman" w:cs="Times New Roman"/>
          <w:szCs w:val="21"/>
          <w:shd w:val="clear" w:color="auto" w:fill="FFFFFF"/>
        </w:rPr>
        <w:t>, la investigación lleva a hablar de una</w:t>
      </w:r>
      <w:r w:rsidR="00CB0243">
        <w:rPr>
          <w:rFonts w:ascii="Times New Roman" w:hAnsi="Times New Roman" w:cs="Times New Roman"/>
          <w:szCs w:val="21"/>
          <w:shd w:val="clear" w:color="auto" w:fill="FFFFFF"/>
        </w:rPr>
        <w:t xml:space="preserve"> depresión de orden psicosomática</w:t>
      </w:r>
      <w:r>
        <w:rPr>
          <w:rFonts w:ascii="Times New Roman" w:hAnsi="Times New Roman" w:cs="Times New Roman"/>
          <w:szCs w:val="21"/>
          <w:shd w:val="clear" w:color="auto" w:fill="FFFFFF"/>
        </w:rPr>
        <w:t xml:space="preserve"> en la cual se ven alterados los modos de vida, los vínculos vecinales y la organización del trabajo. Por tanto, nos encontramos con una situación intangible que las actuaciones previstas no supieron -o no quisieron- atender, dejando a la gente a su suerte, algo que veremos más detalladamente en la situación generada en Salto Grande.</w:t>
      </w:r>
    </w:p>
    <w:p w14:paraId="07E544D0" w14:textId="77777777" w:rsidR="006260C5" w:rsidRPr="006260C5" w:rsidRDefault="00860CF4" w:rsidP="00C73387">
      <w:pPr>
        <w:spacing w:line="240" w:lineRule="auto"/>
        <w:jc w:val="left"/>
        <w:rPr>
          <w:rFonts w:ascii="Times New Roman" w:hAnsi="Times New Roman" w:cs="Times New Roman"/>
          <w:b/>
          <w:szCs w:val="21"/>
          <w:shd w:val="clear" w:color="auto" w:fill="FFFFFF"/>
        </w:rPr>
      </w:pPr>
      <w:r w:rsidRPr="006260C5">
        <w:rPr>
          <w:rFonts w:ascii="Times New Roman" w:hAnsi="Times New Roman" w:cs="Times New Roman"/>
          <w:b/>
          <w:szCs w:val="21"/>
          <w:shd w:val="clear" w:color="auto" w:fill="FFFFFF"/>
        </w:rPr>
        <w:t>3.</w:t>
      </w:r>
      <w:r w:rsidR="00E3457B" w:rsidRPr="006260C5">
        <w:rPr>
          <w:rFonts w:ascii="Times New Roman" w:hAnsi="Times New Roman" w:cs="Times New Roman"/>
          <w:b/>
          <w:szCs w:val="21"/>
          <w:shd w:val="clear" w:color="auto" w:fill="FFFFFF"/>
        </w:rPr>
        <w:t>4)</w:t>
      </w:r>
      <w:r w:rsidR="006260C5" w:rsidRPr="006260C5">
        <w:rPr>
          <w:rFonts w:ascii="Times New Roman" w:hAnsi="Times New Roman" w:cs="Times New Roman"/>
          <w:b/>
          <w:szCs w:val="21"/>
          <w:shd w:val="clear" w:color="auto" w:fill="FFFFFF"/>
        </w:rPr>
        <w:t xml:space="preserve"> Salto Grande</w:t>
      </w:r>
    </w:p>
    <w:p w14:paraId="28517055" w14:textId="018D839B" w:rsidR="00BB3F41" w:rsidRDefault="002278FC"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Salto Grande</w:t>
      </w:r>
      <w:r w:rsidR="00E3457B">
        <w:rPr>
          <w:rFonts w:ascii="Times New Roman" w:hAnsi="Times New Roman" w:cs="Times New Roman"/>
          <w:szCs w:val="21"/>
          <w:shd w:val="clear" w:color="auto" w:fill="FFFFFF"/>
        </w:rPr>
        <w:t xml:space="preserve"> supuso la creación de un nuevo poblado conocido como “Nueva Federación” y que reemplazaba a “Federación”. Sobre este tipo de intervención </w:t>
      </w:r>
      <w:proofErr w:type="spellStart"/>
      <w:r w:rsidR="00E3457B">
        <w:rPr>
          <w:rFonts w:ascii="Times New Roman" w:hAnsi="Times New Roman" w:cs="Times New Roman"/>
          <w:szCs w:val="21"/>
          <w:shd w:val="clear" w:color="auto" w:fill="FFFFFF"/>
        </w:rPr>
        <w:t>Brites</w:t>
      </w:r>
      <w:proofErr w:type="spellEnd"/>
      <w:r w:rsidR="00E3457B">
        <w:rPr>
          <w:rFonts w:ascii="Times New Roman" w:hAnsi="Times New Roman" w:cs="Times New Roman"/>
          <w:szCs w:val="21"/>
          <w:shd w:val="clear" w:color="auto" w:fill="FFFFFF"/>
        </w:rPr>
        <w:t xml:space="preserve"> y </w:t>
      </w:r>
      <w:proofErr w:type="spellStart"/>
      <w:r w:rsidR="00E3457B">
        <w:rPr>
          <w:rFonts w:ascii="Times New Roman" w:hAnsi="Times New Roman" w:cs="Times New Roman"/>
          <w:szCs w:val="21"/>
          <w:shd w:val="clear" w:color="auto" w:fill="FFFFFF"/>
        </w:rPr>
        <w:t>Catullo</w:t>
      </w:r>
      <w:proofErr w:type="spellEnd"/>
      <w:r w:rsidR="00E3457B">
        <w:rPr>
          <w:rFonts w:ascii="Times New Roman" w:hAnsi="Times New Roman" w:cs="Times New Roman"/>
          <w:szCs w:val="21"/>
          <w:shd w:val="clear" w:color="auto" w:fill="FFFFFF"/>
        </w:rPr>
        <w:t xml:space="preserve">, </w:t>
      </w:r>
      <w:r w:rsidR="00BB3F41">
        <w:rPr>
          <w:rFonts w:ascii="Times New Roman" w:hAnsi="Times New Roman" w:cs="Times New Roman"/>
          <w:szCs w:val="21"/>
          <w:shd w:val="clear" w:color="auto" w:fill="FFFFFF"/>
        </w:rPr>
        <w:t>(</w:t>
      </w:r>
      <w:r w:rsidR="00E3457B">
        <w:rPr>
          <w:rFonts w:ascii="Times New Roman" w:hAnsi="Times New Roman" w:cs="Times New Roman"/>
          <w:szCs w:val="21"/>
          <w:shd w:val="clear" w:color="auto" w:fill="FFFFFF"/>
        </w:rPr>
        <w:t>2017</w:t>
      </w:r>
      <w:r w:rsidR="00BB3F41">
        <w:rPr>
          <w:rFonts w:ascii="Times New Roman" w:hAnsi="Times New Roman" w:cs="Times New Roman"/>
          <w:szCs w:val="21"/>
          <w:shd w:val="clear" w:color="auto" w:fill="FFFFFF"/>
        </w:rPr>
        <w:t xml:space="preserve">) resaltan lo que Bartolomé entendía como efectos perturbadores de las relocalizaciones. Si bien la creación de Nueva Federación aportó acceso a bienes varios, la investigación arrojó algunas inconsistencias como que, a pesar de la explotación de la represa en territorio propio, los costos de luz eran altamente encarecidos -la promesa era otra-, por lo que se tuvieron que gestionar de muto propio, utensilios de cocina basados en los tradicionales hornos y cocinas de leña. </w:t>
      </w:r>
    </w:p>
    <w:p w14:paraId="18CB0A32" w14:textId="28A95CC8" w:rsidR="002278FC" w:rsidRDefault="00BB3F41"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Más atención requiere la situación de quienes siguieron morando en Federación, quienes han quedado viviendo en una situación totalmente empobrecida y desfavorable, en precarias condiciones porque su zona no fue afectada.</w:t>
      </w:r>
    </w:p>
    <w:p w14:paraId="349B196D" w14:textId="77777777" w:rsidR="006260C5" w:rsidRPr="006260C5" w:rsidRDefault="00860CF4" w:rsidP="00C73387">
      <w:pPr>
        <w:spacing w:line="240" w:lineRule="auto"/>
        <w:jc w:val="left"/>
        <w:rPr>
          <w:rFonts w:ascii="Times New Roman" w:hAnsi="Times New Roman" w:cs="Times New Roman"/>
          <w:b/>
          <w:szCs w:val="21"/>
          <w:shd w:val="clear" w:color="auto" w:fill="FFFFFF"/>
        </w:rPr>
      </w:pPr>
      <w:r w:rsidRPr="006260C5">
        <w:rPr>
          <w:rFonts w:ascii="Times New Roman" w:hAnsi="Times New Roman" w:cs="Times New Roman"/>
          <w:b/>
          <w:szCs w:val="21"/>
          <w:shd w:val="clear" w:color="auto" w:fill="FFFFFF"/>
        </w:rPr>
        <w:t>3.</w:t>
      </w:r>
      <w:r w:rsidR="00BB3F41" w:rsidRPr="006260C5">
        <w:rPr>
          <w:rFonts w:ascii="Times New Roman" w:hAnsi="Times New Roman" w:cs="Times New Roman"/>
          <w:b/>
          <w:szCs w:val="21"/>
          <w:shd w:val="clear" w:color="auto" w:fill="FFFFFF"/>
        </w:rPr>
        <w:t>5)</w:t>
      </w:r>
      <w:r w:rsidR="006260C5" w:rsidRPr="006260C5">
        <w:rPr>
          <w:rFonts w:ascii="Times New Roman" w:hAnsi="Times New Roman" w:cs="Times New Roman"/>
          <w:b/>
          <w:szCs w:val="21"/>
          <w:shd w:val="clear" w:color="auto" w:fill="FFFFFF"/>
        </w:rPr>
        <w:t xml:space="preserve"> Itaipú Binacional</w:t>
      </w:r>
    </w:p>
    <w:p w14:paraId="538A51B8" w14:textId="3D2B336E" w:rsidR="00860CF4" w:rsidRDefault="00BB3F41"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El caso de </w:t>
      </w:r>
      <w:r w:rsidR="000A51BB">
        <w:rPr>
          <w:rFonts w:ascii="Times New Roman" w:hAnsi="Times New Roman" w:cs="Times New Roman"/>
          <w:szCs w:val="21"/>
          <w:shd w:val="clear" w:color="auto" w:fill="FFFFFF"/>
        </w:rPr>
        <w:t>Itaipú Binacional</w:t>
      </w:r>
      <w:r>
        <w:rPr>
          <w:rFonts w:ascii="Times New Roman" w:hAnsi="Times New Roman" w:cs="Times New Roman"/>
          <w:szCs w:val="21"/>
          <w:shd w:val="clear" w:color="auto" w:fill="FFFFFF"/>
        </w:rPr>
        <w:t xml:space="preserve"> trae consigo una complejidad nueva, y es que el hecho de no haber una adecuación de servicios y normativas a todo el movimiento generado a partir de la obra de la represa hace que las ciudades fronterizas y sus gentes no estén preparadas para un espacio unificado ni a nivel legislativo ni a las posibilidades urbanísticas y de medios que la situación generada pueda sostener. A pesar de un espacio compartido bajo la etiqueta </w:t>
      </w:r>
      <w:r w:rsidR="00860CF4">
        <w:rPr>
          <w:rFonts w:ascii="Times New Roman" w:hAnsi="Times New Roman" w:cs="Times New Roman"/>
          <w:szCs w:val="21"/>
          <w:shd w:val="clear" w:color="auto" w:fill="FFFFFF"/>
        </w:rPr>
        <w:t>“Mercosur”, el acondicionamiento de la situación dista años luz de espacios como el europeo en que la visibilidad reguladora y los servicios ofrecidos por la mayoría de los territorios conformantes está acorde al posible movimiento de masas.</w:t>
      </w:r>
    </w:p>
    <w:p w14:paraId="5CED5467" w14:textId="51B5050C" w:rsidR="002278FC" w:rsidRDefault="00860CF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Sin embargo, citando a </w:t>
      </w:r>
      <w:proofErr w:type="spellStart"/>
      <w:r>
        <w:rPr>
          <w:rFonts w:ascii="Times New Roman" w:hAnsi="Times New Roman" w:cs="Times New Roman"/>
          <w:szCs w:val="21"/>
          <w:shd w:val="clear" w:color="auto" w:fill="FFFFFF"/>
        </w:rPr>
        <w:t>Banerjee</w:t>
      </w:r>
      <w:proofErr w:type="spellEnd"/>
      <w:r>
        <w:rPr>
          <w:rFonts w:ascii="Times New Roman" w:hAnsi="Times New Roman" w:cs="Times New Roman"/>
          <w:szCs w:val="21"/>
          <w:shd w:val="clear" w:color="auto" w:fill="FFFFFF"/>
        </w:rPr>
        <w:t xml:space="preserve"> y </w:t>
      </w:r>
      <w:proofErr w:type="spellStart"/>
      <w:r>
        <w:rPr>
          <w:rFonts w:ascii="Times New Roman" w:hAnsi="Times New Roman" w:cs="Times New Roman"/>
          <w:szCs w:val="21"/>
          <w:shd w:val="clear" w:color="auto" w:fill="FFFFFF"/>
        </w:rPr>
        <w:t>Duflo</w:t>
      </w:r>
      <w:proofErr w:type="spellEnd"/>
      <w:r w:rsidR="006260C5">
        <w:rPr>
          <w:rFonts w:ascii="Times New Roman" w:hAnsi="Times New Roman" w:cs="Times New Roman"/>
          <w:szCs w:val="21"/>
          <w:shd w:val="clear" w:color="auto" w:fill="FFFFFF"/>
        </w:rPr>
        <w:t xml:space="preserve"> (2014)</w:t>
      </w:r>
      <w:r>
        <w:rPr>
          <w:rFonts w:ascii="Times New Roman" w:hAnsi="Times New Roman" w:cs="Times New Roman"/>
          <w:szCs w:val="21"/>
          <w:shd w:val="clear" w:color="auto" w:fill="FFFFFF"/>
        </w:rPr>
        <w:t>, una de las formas de actuación de los gobiernos para la no superación de las barreras que sitúan a las clases bajas en la pobreza es la ralentización de los procesos. El hecho de la no adecuación de los espacios podría responder a un tipo de gestión premeditada que, de ninguna manera, promueve el desarrollo anhelado y prometido bajo las grandes obras.</w:t>
      </w:r>
    </w:p>
    <w:p w14:paraId="25CDCF51" w14:textId="0775AF5E" w:rsidR="006260C5" w:rsidRPr="006260C5" w:rsidRDefault="00860CF4" w:rsidP="00C73387">
      <w:pPr>
        <w:spacing w:line="240" w:lineRule="auto"/>
        <w:jc w:val="left"/>
        <w:rPr>
          <w:rFonts w:ascii="Times New Roman" w:hAnsi="Times New Roman" w:cs="Times New Roman"/>
          <w:b/>
          <w:szCs w:val="21"/>
          <w:shd w:val="clear" w:color="auto" w:fill="FFFFFF"/>
        </w:rPr>
      </w:pPr>
      <w:r w:rsidRPr="006260C5">
        <w:rPr>
          <w:rFonts w:ascii="Times New Roman" w:hAnsi="Times New Roman" w:cs="Times New Roman"/>
          <w:b/>
          <w:szCs w:val="21"/>
          <w:shd w:val="clear" w:color="auto" w:fill="FFFFFF"/>
        </w:rPr>
        <w:t>3.6)</w:t>
      </w:r>
      <w:r w:rsidR="006260C5" w:rsidRPr="006260C5">
        <w:rPr>
          <w:rFonts w:ascii="Times New Roman" w:hAnsi="Times New Roman" w:cs="Times New Roman"/>
          <w:b/>
          <w:szCs w:val="21"/>
          <w:shd w:val="clear" w:color="auto" w:fill="FFFFFF"/>
        </w:rPr>
        <w:t xml:space="preserve"> </w:t>
      </w:r>
      <w:proofErr w:type="spellStart"/>
      <w:r w:rsidR="006260C5" w:rsidRPr="006260C5">
        <w:rPr>
          <w:rFonts w:ascii="Times New Roman" w:hAnsi="Times New Roman" w:cs="Times New Roman"/>
          <w:b/>
          <w:szCs w:val="21"/>
          <w:shd w:val="clear" w:color="auto" w:fill="FFFFFF"/>
        </w:rPr>
        <w:t>Itapebi</w:t>
      </w:r>
      <w:proofErr w:type="spellEnd"/>
    </w:p>
    <w:p w14:paraId="485FEA2C" w14:textId="63972A45" w:rsidR="000A51BB" w:rsidRDefault="00860CF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El último caso presentado es el de </w:t>
      </w:r>
      <w:proofErr w:type="spellStart"/>
      <w:r w:rsidR="000A51BB">
        <w:rPr>
          <w:rFonts w:ascii="Times New Roman" w:hAnsi="Times New Roman" w:cs="Times New Roman"/>
          <w:szCs w:val="21"/>
          <w:shd w:val="clear" w:color="auto" w:fill="FFFFFF"/>
        </w:rPr>
        <w:t>Itapebi</w:t>
      </w:r>
      <w:proofErr w:type="spellEnd"/>
      <w:r>
        <w:rPr>
          <w:rFonts w:ascii="Times New Roman" w:hAnsi="Times New Roman" w:cs="Times New Roman"/>
          <w:szCs w:val="21"/>
          <w:shd w:val="clear" w:color="auto" w:fill="FFFFFF"/>
        </w:rPr>
        <w:t>, en el cual el nivel de alteración llegó incluso, según la investigación compilada, a la</w:t>
      </w:r>
      <w:r w:rsidR="000A51BB">
        <w:rPr>
          <w:rFonts w:ascii="Times New Roman" w:hAnsi="Times New Roman" w:cs="Times New Roman"/>
          <w:szCs w:val="21"/>
          <w:shd w:val="clear" w:color="auto" w:fill="FFFFFF"/>
        </w:rPr>
        <w:t xml:space="preserve"> supresión de</w:t>
      </w:r>
      <w:r>
        <w:rPr>
          <w:rFonts w:ascii="Times New Roman" w:hAnsi="Times New Roman" w:cs="Times New Roman"/>
          <w:szCs w:val="21"/>
          <w:shd w:val="clear" w:color="auto" w:fill="FFFFFF"/>
        </w:rPr>
        <w:t xml:space="preserve"> la</w:t>
      </w:r>
      <w:r w:rsidR="000A51BB">
        <w:rPr>
          <w:rFonts w:ascii="Times New Roman" w:hAnsi="Times New Roman" w:cs="Times New Roman"/>
          <w:szCs w:val="21"/>
          <w:shd w:val="clear" w:color="auto" w:fill="FFFFFF"/>
        </w:rPr>
        <w:t xml:space="preserve"> justicia en nombre del desarrollo</w:t>
      </w:r>
      <w:r>
        <w:rPr>
          <w:rFonts w:ascii="Times New Roman" w:hAnsi="Times New Roman" w:cs="Times New Roman"/>
          <w:szCs w:val="21"/>
          <w:shd w:val="clear" w:color="auto" w:fill="FFFFFF"/>
        </w:rPr>
        <w:t xml:space="preserve"> y el progreso</w:t>
      </w:r>
      <w:r w:rsidR="000A51BB">
        <w:rPr>
          <w:rFonts w:ascii="Times New Roman" w:hAnsi="Times New Roman" w:cs="Times New Roman"/>
          <w:szCs w:val="21"/>
          <w:shd w:val="clear" w:color="auto" w:fill="FFFFFF"/>
        </w:rPr>
        <w:t xml:space="preserve">. </w:t>
      </w:r>
      <w:r>
        <w:rPr>
          <w:rFonts w:ascii="Times New Roman" w:hAnsi="Times New Roman" w:cs="Times New Roman"/>
          <w:szCs w:val="21"/>
          <w:shd w:val="clear" w:color="auto" w:fill="FFFFFF"/>
        </w:rPr>
        <w:t>En un intento de trabajo Estado-Ciudadanía bajo la democracia y la autoridad ascendente, cumpliendo con los parámetros de responsabilidad en todos los ámbitos sociales -incluido el medio ambiente-, finalmente se alteró el proceso a las espaldas de la población, hecho que ocasionó una desmembración social y ambiental</w:t>
      </w:r>
      <w:r w:rsidR="000A51BB">
        <w:rPr>
          <w:rFonts w:ascii="Times New Roman" w:hAnsi="Times New Roman" w:cs="Times New Roman"/>
          <w:szCs w:val="21"/>
          <w:shd w:val="clear" w:color="auto" w:fill="FFFFFF"/>
        </w:rPr>
        <w:t xml:space="preserve">. </w:t>
      </w:r>
    </w:p>
    <w:p w14:paraId="377743FE" w14:textId="6F8D3A25" w:rsidR="00CB0243" w:rsidRPr="00CA6C17" w:rsidRDefault="00860CF4" w:rsidP="00C73387">
      <w:pPr>
        <w:spacing w:line="240" w:lineRule="auto"/>
        <w:jc w:val="left"/>
        <w:rPr>
          <w:rFonts w:ascii="Times New Roman" w:hAnsi="Times New Roman" w:cs="Times New Roman"/>
          <w:b/>
          <w:szCs w:val="21"/>
          <w:shd w:val="clear" w:color="auto" w:fill="FFFFFF"/>
        </w:rPr>
      </w:pPr>
      <w:r>
        <w:rPr>
          <w:rFonts w:ascii="Times New Roman" w:hAnsi="Times New Roman" w:cs="Times New Roman"/>
          <w:b/>
          <w:szCs w:val="21"/>
          <w:shd w:val="clear" w:color="auto" w:fill="FFFFFF"/>
        </w:rPr>
        <w:t xml:space="preserve">4) </w:t>
      </w:r>
      <w:r w:rsidR="00CA6C17" w:rsidRPr="00CA6C17">
        <w:rPr>
          <w:rFonts w:ascii="Times New Roman" w:hAnsi="Times New Roman" w:cs="Times New Roman"/>
          <w:b/>
          <w:szCs w:val="21"/>
          <w:shd w:val="clear" w:color="auto" w:fill="FFFFFF"/>
        </w:rPr>
        <w:t>Cerrando el círculo del desarrollo</w:t>
      </w:r>
      <w:r w:rsidR="00CA6C17">
        <w:rPr>
          <w:rFonts w:ascii="Times New Roman" w:hAnsi="Times New Roman" w:cs="Times New Roman"/>
          <w:b/>
          <w:szCs w:val="21"/>
          <w:shd w:val="clear" w:color="auto" w:fill="FFFFFF"/>
        </w:rPr>
        <w:t xml:space="preserve"> apuntando</w:t>
      </w:r>
      <w:r w:rsidR="00CA6C17" w:rsidRPr="00CA6C17">
        <w:rPr>
          <w:rFonts w:ascii="Times New Roman" w:hAnsi="Times New Roman" w:cs="Times New Roman"/>
          <w:b/>
          <w:szCs w:val="21"/>
          <w:shd w:val="clear" w:color="auto" w:fill="FFFFFF"/>
        </w:rPr>
        <w:t xml:space="preserve"> hacia un subdesarrollo</w:t>
      </w:r>
    </w:p>
    <w:p w14:paraId="7198B1EF" w14:textId="6FCD7A30" w:rsidR="00CB0243" w:rsidRDefault="00601EE3" w:rsidP="00C73387">
      <w:pPr>
        <w:spacing w:line="240" w:lineRule="auto"/>
        <w:jc w:val="left"/>
        <w:rPr>
          <w:rFonts w:ascii="Times New Roman" w:hAnsi="Times New Roman" w:cs="Times New Roman"/>
          <w:szCs w:val="21"/>
          <w:shd w:val="clear" w:color="auto" w:fill="FFFFFF"/>
        </w:rPr>
      </w:pPr>
      <w:proofErr w:type="spellStart"/>
      <w:r>
        <w:rPr>
          <w:rFonts w:ascii="Times New Roman" w:hAnsi="Times New Roman" w:cs="Times New Roman"/>
          <w:szCs w:val="21"/>
          <w:shd w:val="clear" w:color="auto" w:fill="FFFFFF"/>
        </w:rPr>
        <w:t>Radovich</w:t>
      </w:r>
      <w:proofErr w:type="spellEnd"/>
      <w:r>
        <w:rPr>
          <w:rFonts w:ascii="Times New Roman" w:hAnsi="Times New Roman" w:cs="Times New Roman"/>
          <w:szCs w:val="21"/>
          <w:shd w:val="clear" w:color="auto" w:fill="FFFFFF"/>
        </w:rPr>
        <w:t xml:space="preserve"> (2017, en </w:t>
      </w:r>
      <w:proofErr w:type="spellStart"/>
      <w:r>
        <w:rPr>
          <w:rFonts w:ascii="Times New Roman" w:hAnsi="Times New Roman" w:cs="Times New Roman"/>
          <w:szCs w:val="21"/>
          <w:shd w:val="clear" w:color="auto" w:fill="FFFFFF"/>
        </w:rPr>
        <w:t>Brites</w:t>
      </w:r>
      <w:proofErr w:type="spellEnd"/>
      <w:r>
        <w:rPr>
          <w:rFonts w:ascii="Times New Roman" w:hAnsi="Times New Roman" w:cs="Times New Roman"/>
          <w:szCs w:val="21"/>
          <w:shd w:val="clear" w:color="auto" w:fill="FFFFFF"/>
        </w:rPr>
        <w:t xml:space="preserve"> y </w:t>
      </w:r>
      <w:proofErr w:type="spellStart"/>
      <w:r>
        <w:rPr>
          <w:rFonts w:ascii="Times New Roman" w:hAnsi="Times New Roman" w:cs="Times New Roman"/>
          <w:szCs w:val="21"/>
          <w:shd w:val="clear" w:color="auto" w:fill="FFFFFF"/>
        </w:rPr>
        <w:t>Catullo</w:t>
      </w:r>
      <w:proofErr w:type="spellEnd"/>
      <w:r>
        <w:rPr>
          <w:rFonts w:ascii="Times New Roman" w:hAnsi="Times New Roman" w:cs="Times New Roman"/>
          <w:szCs w:val="21"/>
          <w:shd w:val="clear" w:color="auto" w:fill="FFFFFF"/>
        </w:rPr>
        <w:t>, 201</w:t>
      </w:r>
      <w:r w:rsidR="006260C5">
        <w:rPr>
          <w:rFonts w:ascii="Times New Roman" w:hAnsi="Times New Roman" w:cs="Times New Roman"/>
          <w:szCs w:val="21"/>
          <w:shd w:val="clear" w:color="auto" w:fill="FFFFFF"/>
        </w:rPr>
        <w:t>7:43</w:t>
      </w:r>
      <w:r>
        <w:rPr>
          <w:rFonts w:ascii="Times New Roman" w:hAnsi="Times New Roman" w:cs="Times New Roman"/>
          <w:szCs w:val="21"/>
          <w:shd w:val="clear" w:color="auto" w:fill="FFFFFF"/>
        </w:rPr>
        <w:t xml:space="preserve">) habla de un “impacto global”. A la vista de los acontecimientos hasta la fecha analizados en las investigaciones compiladas, el </w:t>
      </w:r>
      <w:r>
        <w:rPr>
          <w:rFonts w:ascii="Times New Roman" w:hAnsi="Times New Roman" w:cs="Times New Roman"/>
          <w:szCs w:val="21"/>
          <w:shd w:val="clear" w:color="auto" w:fill="FFFFFF"/>
        </w:rPr>
        <w:lastRenderedPageBreak/>
        <w:t xml:space="preserve">impacto global no fue ni está siendo atendido. El mismo autor, citando a Coelho dos Santos (2017 en </w:t>
      </w:r>
      <w:proofErr w:type="spellStart"/>
      <w:r>
        <w:rPr>
          <w:rFonts w:ascii="Times New Roman" w:hAnsi="Times New Roman" w:cs="Times New Roman"/>
          <w:szCs w:val="21"/>
          <w:shd w:val="clear" w:color="auto" w:fill="FFFFFF"/>
        </w:rPr>
        <w:t>Brites</w:t>
      </w:r>
      <w:proofErr w:type="spellEnd"/>
      <w:r>
        <w:rPr>
          <w:rFonts w:ascii="Times New Roman" w:hAnsi="Times New Roman" w:cs="Times New Roman"/>
          <w:szCs w:val="21"/>
          <w:shd w:val="clear" w:color="auto" w:fill="FFFFFF"/>
        </w:rPr>
        <w:t xml:space="preserve"> y </w:t>
      </w:r>
      <w:proofErr w:type="spellStart"/>
      <w:r>
        <w:rPr>
          <w:rFonts w:ascii="Times New Roman" w:hAnsi="Times New Roman" w:cs="Times New Roman"/>
          <w:szCs w:val="21"/>
          <w:shd w:val="clear" w:color="auto" w:fill="FFFFFF"/>
        </w:rPr>
        <w:t>Catullo</w:t>
      </w:r>
      <w:proofErr w:type="spellEnd"/>
      <w:r>
        <w:rPr>
          <w:rFonts w:ascii="Times New Roman" w:hAnsi="Times New Roman" w:cs="Times New Roman"/>
          <w:szCs w:val="21"/>
          <w:shd w:val="clear" w:color="auto" w:fill="FFFFFF"/>
        </w:rPr>
        <w:t>, 2018:43), refuerza la idea de cuidado y preservación sobre la afectación a los mapuches -y a pueblos originarios-, en que los pueblos originarios deben ser inalienables o tener compensaciones “tierra por tierra en sitios ecológicamente equivalentes”. Hablamos aquí, por tanto, de una dignificación y justicia por las afectaciones que van más allá de la cuestión habitacional-asistencialista. Algunas de las percepciones analizadas sostenían que uno de los problemas de la relocalización es que</w:t>
      </w:r>
      <w:r w:rsidR="000D5C24">
        <w:rPr>
          <w:rFonts w:ascii="Times New Roman" w:hAnsi="Times New Roman" w:cs="Times New Roman"/>
          <w:szCs w:val="21"/>
          <w:shd w:val="clear" w:color="auto" w:fill="FFFFFF"/>
        </w:rPr>
        <w:t>,</w:t>
      </w:r>
      <w:r>
        <w:rPr>
          <w:rFonts w:ascii="Times New Roman" w:hAnsi="Times New Roman" w:cs="Times New Roman"/>
          <w:szCs w:val="21"/>
          <w:shd w:val="clear" w:color="auto" w:fill="FFFFFF"/>
        </w:rPr>
        <w:t xml:space="preserve"> en el caso de tener nuevas tierras, éstas debían ser trabajadas desde cero, consiguiendo una producción suficiente en un periodo de tiempo excesivamente largo para la atención de las demandas del día a día.</w:t>
      </w:r>
    </w:p>
    <w:p w14:paraId="61898EDE" w14:textId="2FC20D08" w:rsidR="000D5C24" w:rsidRDefault="000D5C2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Actualmente, conforme a lo estipulado en los resultados de las investigaciones, las comunidades afectadas por las Grandes Obras de Desarrollo están encontrándose como “víctimas del desarrollo” (</w:t>
      </w:r>
      <w:proofErr w:type="spellStart"/>
      <w:r>
        <w:rPr>
          <w:rFonts w:ascii="Times New Roman" w:hAnsi="Times New Roman" w:cs="Times New Roman"/>
          <w:szCs w:val="21"/>
          <w:shd w:val="clear" w:color="auto" w:fill="FFFFFF"/>
        </w:rPr>
        <w:t>Renk</w:t>
      </w:r>
      <w:proofErr w:type="spellEnd"/>
      <w:r>
        <w:rPr>
          <w:rFonts w:ascii="Times New Roman" w:hAnsi="Times New Roman" w:cs="Times New Roman"/>
          <w:szCs w:val="21"/>
          <w:shd w:val="clear" w:color="auto" w:fill="FFFFFF"/>
        </w:rPr>
        <w:t xml:space="preserve"> y </w:t>
      </w:r>
      <w:proofErr w:type="spellStart"/>
      <w:r>
        <w:rPr>
          <w:rFonts w:ascii="Times New Roman" w:hAnsi="Times New Roman" w:cs="Times New Roman"/>
          <w:szCs w:val="21"/>
          <w:shd w:val="clear" w:color="auto" w:fill="FFFFFF"/>
        </w:rPr>
        <w:t>Wincler</w:t>
      </w:r>
      <w:proofErr w:type="spellEnd"/>
      <w:r>
        <w:rPr>
          <w:rFonts w:ascii="Times New Roman" w:hAnsi="Times New Roman" w:cs="Times New Roman"/>
          <w:szCs w:val="21"/>
          <w:shd w:val="clear" w:color="auto" w:fill="FFFFFF"/>
        </w:rPr>
        <w:t xml:space="preserve">, 2017, en </w:t>
      </w:r>
      <w:proofErr w:type="spellStart"/>
      <w:r>
        <w:rPr>
          <w:rFonts w:ascii="Times New Roman" w:hAnsi="Times New Roman" w:cs="Times New Roman"/>
          <w:szCs w:val="21"/>
          <w:shd w:val="clear" w:color="auto" w:fill="FFFFFF"/>
        </w:rPr>
        <w:t>Brites</w:t>
      </w:r>
      <w:proofErr w:type="spellEnd"/>
      <w:r>
        <w:rPr>
          <w:rFonts w:ascii="Times New Roman" w:hAnsi="Times New Roman" w:cs="Times New Roman"/>
          <w:szCs w:val="21"/>
          <w:shd w:val="clear" w:color="auto" w:fill="FFFFFF"/>
        </w:rPr>
        <w:t xml:space="preserve"> y </w:t>
      </w:r>
      <w:proofErr w:type="spellStart"/>
      <w:r>
        <w:rPr>
          <w:rFonts w:ascii="Times New Roman" w:hAnsi="Times New Roman" w:cs="Times New Roman"/>
          <w:szCs w:val="21"/>
          <w:shd w:val="clear" w:color="auto" w:fill="FFFFFF"/>
        </w:rPr>
        <w:t>Catullo</w:t>
      </w:r>
      <w:proofErr w:type="spellEnd"/>
      <w:r>
        <w:rPr>
          <w:rFonts w:ascii="Times New Roman" w:hAnsi="Times New Roman" w:cs="Times New Roman"/>
          <w:szCs w:val="21"/>
          <w:shd w:val="clear" w:color="auto" w:fill="FFFFFF"/>
        </w:rPr>
        <w:t>, 2018:46) porque no están siendo atendidos de forma integral, quedándose en situaciones de pobreza, precariedad y desarticulados del núcleo social, tal y como ya hemos mencionado.</w:t>
      </w:r>
    </w:p>
    <w:p w14:paraId="427AB7E2" w14:textId="0BB25B60" w:rsidR="000D5C24" w:rsidRDefault="000D5C2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Además, los espacios intervenidos, en algunos casos, están siendo objeto de las especulaciones y revalorizaciones inmobiliarias gracias al disfrute de los espacios costeros generados para el turismo que, si bien ocasionan una fuente de ingreso potente -como es en el caso de Encarnación con los vecinos provenientes por el puente que nos une a Posadas-, el espacio ahora conquistado era donde anteriormente estaba la población de clase baja que fue expulsada hacia las periféricas relocalizaciones, creando una especie de “</w:t>
      </w:r>
      <w:proofErr w:type="spellStart"/>
      <w:r>
        <w:rPr>
          <w:rFonts w:ascii="Times New Roman" w:hAnsi="Times New Roman" w:cs="Times New Roman"/>
          <w:szCs w:val="21"/>
          <w:shd w:val="clear" w:color="auto" w:fill="FFFFFF"/>
        </w:rPr>
        <w:t>elitización</w:t>
      </w:r>
      <w:proofErr w:type="spellEnd"/>
      <w:r>
        <w:rPr>
          <w:rFonts w:ascii="Times New Roman" w:hAnsi="Times New Roman" w:cs="Times New Roman"/>
          <w:szCs w:val="21"/>
          <w:shd w:val="clear" w:color="auto" w:fill="FFFFFF"/>
        </w:rPr>
        <w:t>” de los espacios urbanos que ostentan los mejores servicios.</w:t>
      </w:r>
    </w:p>
    <w:p w14:paraId="0F2071C0" w14:textId="158C8F4E" w:rsidR="000D5C24" w:rsidRDefault="000D5C2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Si volvemos a las preguntas desarrolladas al inicio del artículo, las respuestas podrán ser respondidas sin ningún tipo de duda, cuestión que dejaremos para la interpretación y respuesta personal.</w:t>
      </w:r>
    </w:p>
    <w:p w14:paraId="4C626A98" w14:textId="011739D2" w:rsidR="000D5C24" w:rsidRDefault="000D5C2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El hecho que sí que vamos a remarcar es que, tanto las autoridades como las empresas privadas, incluidas las universidades públicas y privadas, debemos trabajar por la promoción de unas políticas sociales inclusivas, no solo para personas con discapacidad, sino para personas que la sociedad discapacita excluyéndolas de los capitales culturales, de los bienes de servicio, del disfrute de sus derechos como humanos.</w:t>
      </w:r>
    </w:p>
    <w:p w14:paraId="7311E1F6" w14:textId="7B1913A8" w:rsidR="000D5C24" w:rsidRDefault="000D5C24"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 xml:space="preserve">Iniciar desde la Universidad, al igual que lo hicieron en Encarnación con la </w:t>
      </w:r>
      <w:r w:rsidR="000A20EE">
        <w:rPr>
          <w:rFonts w:ascii="Times New Roman" w:hAnsi="Times New Roman" w:cs="Times New Roman"/>
          <w:szCs w:val="21"/>
          <w:shd w:val="clear" w:color="auto" w:fill="FFFFFF"/>
        </w:rPr>
        <w:t>Asociación Para la defensa del patrimonio Histórico (APH), se presenta como una llave perfecta para activar el engranaje, por lo que debe asumirse el rol de institución al servicio de la sociedad-comunidad para promover prácticas responsables a la ciudadanía, el acceso al dominio de los códigos culturales</w:t>
      </w:r>
      <w:r w:rsidR="00A24322">
        <w:rPr>
          <w:rFonts w:ascii="Times New Roman" w:hAnsi="Times New Roman" w:cs="Times New Roman"/>
          <w:szCs w:val="21"/>
          <w:shd w:val="clear" w:color="auto" w:fill="FFFFFF"/>
        </w:rPr>
        <w:t xml:space="preserve"> (Bourdieu y Passeron, 1996)</w:t>
      </w:r>
      <w:r w:rsidR="000A20EE">
        <w:rPr>
          <w:rFonts w:ascii="Times New Roman" w:hAnsi="Times New Roman" w:cs="Times New Roman"/>
          <w:szCs w:val="21"/>
          <w:shd w:val="clear" w:color="auto" w:fill="FFFFFF"/>
        </w:rPr>
        <w:t xml:space="preserve"> y lingüísticos que permitan la alfabetización para el siglo XXI y que motive la promoción de políticas públicas y sociales que salvaguarden los derechos de las personas sin ningún tipo de abuso por la ostentación de unas posiciones, apuntando por tanto hacia un desarrollo sostenible desde todos los enfoques vitales como son la sociedad, la economía y el medioambiente, entre otros, y no hacia situaciones como las mostradas en las investigaciones actuales que apuntan hacia un subdesarrollo basada en una selección desnaturalizada que excluye de manera autoritaria e impositiva a grupos sociales por la generación de unos beneficios para “unos pocos”.</w:t>
      </w:r>
    </w:p>
    <w:p w14:paraId="51A44BAD" w14:textId="252E57F1" w:rsidR="000A20EE" w:rsidRDefault="000A20EE" w:rsidP="00C73387">
      <w:pPr>
        <w:spacing w:line="240" w:lineRule="auto"/>
        <w:jc w:val="left"/>
        <w:rPr>
          <w:rFonts w:ascii="Times New Roman" w:hAnsi="Times New Roman" w:cs="Times New Roman"/>
          <w:szCs w:val="21"/>
          <w:shd w:val="clear" w:color="auto" w:fill="FFFFFF"/>
        </w:rPr>
      </w:pPr>
      <w:r>
        <w:rPr>
          <w:rFonts w:ascii="Times New Roman" w:hAnsi="Times New Roman" w:cs="Times New Roman"/>
          <w:szCs w:val="21"/>
          <w:shd w:val="clear" w:color="auto" w:fill="FFFFFF"/>
        </w:rPr>
        <w:t>Referencias:</w:t>
      </w:r>
    </w:p>
    <w:p w14:paraId="7DF07DA2" w14:textId="0F44C207" w:rsidR="000A20EE" w:rsidRPr="006260C5" w:rsidRDefault="006260C5" w:rsidP="00C73387">
      <w:pPr>
        <w:spacing w:line="240" w:lineRule="auto"/>
        <w:jc w:val="left"/>
        <w:rPr>
          <w:rFonts w:ascii="Times New Roman" w:hAnsi="Times New Roman" w:cs="Times New Roman"/>
          <w:color w:val="000000"/>
        </w:rPr>
      </w:pPr>
      <w:proofErr w:type="spellStart"/>
      <w:r w:rsidRPr="006260C5">
        <w:rPr>
          <w:rFonts w:ascii="Times New Roman" w:hAnsi="Times New Roman" w:cs="Times New Roman"/>
          <w:color w:val="000000"/>
        </w:rPr>
        <w:t>Banerjee</w:t>
      </w:r>
      <w:proofErr w:type="spellEnd"/>
      <w:r w:rsidRPr="006260C5">
        <w:rPr>
          <w:rFonts w:ascii="Times New Roman" w:hAnsi="Times New Roman" w:cs="Times New Roman"/>
          <w:color w:val="000000"/>
        </w:rPr>
        <w:t xml:space="preserve">. A. y </w:t>
      </w:r>
      <w:proofErr w:type="spellStart"/>
      <w:r w:rsidRPr="006260C5">
        <w:rPr>
          <w:rFonts w:ascii="Times New Roman" w:hAnsi="Times New Roman" w:cs="Times New Roman"/>
          <w:color w:val="000000"/>
        </w:rPr>
        <w:t>Duflo</w:t>
      </w:r>
      <w:proofErr w:type="spellEnd"/>
      <w:r w:rsidRPr="006260C5">
        <w:rPr>
          <w:rFonts w:ascii="Times New Roman" w:hAnsi="Times New Roman" w:cs="Times New Roman"/>
          <w:color w:val="000000"/>
        </w:rPr>
        <w:t xml:space="preserve">. E., (2014). </w:t>
      </w:r>
      <w:r w:rsidRPr="006260C5">
        <w:rPr>
          <w:rFonts w:ascii="Times New Roman" w:hAnsi="Times New Roman" w:cs="Times New Roman"/>
          <w:i/>
          <w:iCs/>
          <w:color w:val="000000"/>
        </w:rPr>
        <w:t xml:space="preserve">Repensar la pobreza. </w:t>
      </w:r>
      <w:r w:rsidRPr="006260C5">
        <w:rPr>
          <w:rFonts w:ascii="Times New Roman" w:hAnsi="Times New Roman" w:cs="Times New Roman"/>
          <w:color w:val="000000"/>
        </w:rPr>
        <w:t>Ed. Taurus. Buenos Aires. Pp. 11 -376.</w:t>
      </w:r>
    </w:p>
    <w:p w14:paraId="768D53D1" w14:textId="5D35CE8F" w:rsidR="00A24322" w:rsidRDefault="00A24322" w:rsidP="00C73387">
      <w:pPr>
        <w:spacing w:line="240" w:lineRule="auto"/>
        <w:jc w:val="left"/>
        <w:rPr>
          <w:rFonts w:ascii="Times New Roman" w:hAnsi="Times New Roman" w:cs="Times New Roman"/>
          <w:color w:val="000000"/>
        </w:rPr>
      </w:pPr>
      <w:r w:rsidRPr="00A24322">
        <w:rPr>
          <w:rFonts w:ascii="Times New Roman" w:hAnsi="Times New Roman" w:cs="Times New Roman"/>
          <w:color w:val="000000"/>
        </w:rPr>
        <w:lastRenderedPageBreak/>
        <w:t xml:space="preserve">Bourdieu. P. y Passeron. JC., (1996). </w:t>
      </w:r>
      <w:r w:rsidRPr="00A24322">
        <w:rPr>
          <w:rFonts w:ascii="Times New Roman" w:hAnsi="Times New Roman" w:cs="Times New Roman"/>
          <w:i/>
          <w:iCs/>
          <w:color w:val="000000"/>
        </w:rPr>
        <w:t>La reproducción</w:t>
      </w:r>
      <w:r w:rsidRPr="00A24322">
        <w:rPr>
          <w:rFonts w:ascii="Times New Roman" w:hAnsi="Times New Roman" w:cs="Times New Roman"/>
          <w:color w:val="000000"/>
        </w:rPr>
        <w:t>. Ed. Fontamara. Barcelona. Pp. 7-285</w:t>
      </w:r>
    </w:p>
    <w:p w14:paraId="2AF2F839" w14:textId="5D71FA3D" w:rsidR="00A24322" w:rsidRPr="00C73387" w:rsidRDefault="00A24322" w:rsidP="00C73387">
      <w:pPr>
        <w:spacing w:line="240" w:lineRule="auto"/>
        <w:jc w:val="left"/>
        <w:rPr>
          <w:rFonts w:ascii="Times New Roman" w:hAnsi="Times New Roman" w:cs="Times New Roman"/>
          <w:szCs w:val="21"/>
          <w:shd w:val="clear" w:color="auto" w:fill="FFFFFF"/>
          <w:lang w:val="en-US"/>
        </w:rPr>
      </w:pPr>
      <w:proofErr w:type="spellStart"/>
      <w:r w:rsidRPr="006260C5">
        <w:rPr>
          <w:rFonts w:ascii="Times New Roman" w:hAnsi="Times New Roman" w:cs="Times New Roman"/>
          <w:szCs w:val="21"/>
          <w:shd w:val="clear" w:color="auto" w:fill="FFFFFF"/>
        </w:rPr>
        <w:t>Brites</w:t>
      </w:r>
      <w:proofErr w:type="spellEnd"/>
      <w:r w:rsidRPr="006260C5">
        <w:rPr>
          <w:rFonts w:ascii="Times New Roman" w:hAnsi="Times New Roman" w:cs="Times New Roman"/>
          <w:szCs w:val="21"/>
          <w:shd w:val="clear" w:color="auto" w:fill="FFFFFF"/>
        </w:rPr>
        <w:t xml:space="preserve">, W. y </w:t>
      </w:r>
      <w:proofErr w:type="spellStart"/>
      <w:r w:rsidRPr="006260C5">
        <w:rPr>
          <w:rFonts w:ascii="Times New Roman" w:hAnsi="Times New Roman" w:cs="Times New Roman"/>
          <w:szCs w:val="21"/>
          <w:shd w:val="clear" w:color="auto" w:fill="FFFFFF"/>
        </w:rPr>
        <w:t>Catullo</w:t>
      </w:r>
      <w:proofErr w:type="spellEnd"/>
      <w:r w:rsidRPr="006260C5">
        <w:rPr>
          <w:rFonts w:ascii="Times New Roman" w:hAnsi="Times New Roman" w:cs="Times New Roman"/>
          <w:szCs w:val="21"/>
          <w:shd w:val="clear" w:color="auto" w:fill="FFFFFF"/>
        </w:rPr>
        <w:t>. M.R.,</w:t>
      </w:r>
      <w:r>
        <w:rPr>
          <w:rFonts w:ascii="Times New Roman" w:hAnsi="Times New Roman" w:cs="Times New Roman"/>
          <w:szCs w:val="21"/>
          <w:shd w:val="clear" w:color="auto" w:fill="FFFFFF"/>
        </w:rPr>
        <w:t xml:space="preserve"> (Comp.).</w:t>
      </w:r>
      <w:r w:rsidRPr="006260C5">
        <w:rPr>
          <w:rFonts w:ascii="Times New Roman" w:hAnsi="Times New Roman" w:cs="Times New Roman"/>
          <w:szCs w:val="21"/>
          <w:shd w:val="clear" w:color="auto" w:fill="FFFFFF"/>
        </w:rPr>
        <w:t xml:space="preserve"> (2017). </w:t>
      </w:r>
      <w:r w:rsidRPr="006260C5">
        <w:rPr>
          <w:rFonts w:ascii="Times New Roman" w:hAnsi="Times New Roman" w:cs="Times New Roman"/>
          <w:i/>
          <w:szCs w:val="21"/>
          <w:shd w:val="clear" w:color="auto" w:fill="FFFFFF"/>
        </w:rPr>
        <w:t>Ciudades, desarrollo y consecuencias sociales de grandes proyectos. Experiencias regionales en análisis.</w:t>
      </w:r>
      <w:r w:rsidRPr="006260C5">
        <w:rPr>
          <w:rFonts w:ascii="Times New Roman" w:hAnsi="Times New Roman" w:cs="Times New Roman"/>
          <w:szCs w:val="21"/>
          <w:shd w:val="clear" w:color="auto" w:fill="FFFFFF"/>
        </w:rPr>
        <w:t xml:space="preserve"> Ed. </w:t>
      </w:r>
      <w:proofErr w:type="spellStart"/>
      <w:r w:rsidRPr="006260C5">
        <w:rPr>
          <w:rFonts w:ascii="Times New Roman" w:hAnsi="Times New Roman" w:cs="Times New Roman"/>
          <w:szCs w:val="21"/>
          <w:shd w:val="clear" w:color="auto" w:fill="FFFFFF"/>
        </w:rPr>
        <w:t>Divesper</w:t>
      </w:r>
      <w:proofErr w:type="spellEnd"/>
      <w:r w:rsidRPr="006260C5">
        <w:rPr>
          <w:rFonts w:ascii="Times New Roman" w:hAnsi="Times New Roman" w:cs="Times New Roman"/>
          <w:szCs w:val="21"/>
          <w:shd w:val="clear" w:color="auto" w:fill="FFFFFF"/>
        </w:rPr>
        <w:t>. Asunción. Pp. 7-295.</w:t>
      </w:r>
      <w:r w:rsidR="00C73387">
        <w:rPr>
          <w:rFonts w:ascii="Times New Roman" w:hAnsi="Times New Roman" w:cs="Times New Roman"/>
          <w:szCs w:val="21"/>
          <w:shd w:val="clear" w:color="auto" w:fill="FFFFFF"/>
        </w:rPr>
        <w:t xml:space="preserve"> </w:t>
      </w:r>
      <w:r w:rsidR="00C73387" w:rsidRPr="00C73387">
        <w:rPr>
          <w:rFonts w:ascii="Times New Roman" w:hAnsi="Times New Roman" w:cs="Times New Roman"/>
          <w:szCs w:val="21"/>
          <w:shd w:val="clear" w:color="auto" w:fill="FFFFFF"/>
          <w:lang w:val="en-US"/>
        </w:rPr>
        <w:t>Url: http://www.unae.edu.py/biblio/images/grandes-proyectos-libro-para-imprenta-version-super-liviana.pdf</w:t>
      </w:r>
    </w:p>
    <w:p w14:paraId="744234DD" w14:textId="77777777" w:rsidR="00A24322" w:rsidRPr="00C73387" w:rsidRDefault="00A24322" w:rsidP="00C73387">
      <w:pPr>
        <w:spacing w:line="240" w:lineRule="auto"/>
        <w:jc w:val="left"/>
        <w:rPr>
          <w:rFonts w:ascii="Times New Roman" w:hAnsi="Times New Roman" w:cs="Times New Roman"/>
          <w:szCs w:val="21"/>
          <w:shd w:val="clear" w:color="auto" w:fill="FFFFFF"/>
          <w:lang w:val="en-US"/>
        </w:rPr>
      </w:pPr>
    </w:p>
    <w:bookmarkEnd w:id="0"/>
    <w:p w14:paraId="0E8EDF0D" w14:textId="2C1D9B76" w:rsidR="00E140D1" w:rsidRPr="00C73387" w:rsidRDefault="00E140D1" w:rsidP="00C73387">
      <w:pPr>
        <w:spacing w:line="240" w:lineRule="auto"/>
        <w:rPr>
          <w:lang w:val="en-US"/>
        </w:rPr>
      </w:pPr>
    </w:p>
    <w:sectPr w:rsidR="00E140D1" w:rsidRPr="00C7338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517D1"/>
    <w:multiLevelType w:val="multilevel"/>
    <w:tmpl w:val="C5B0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63"/>
    <w:rsid w:val="00012FB6"/>
    <w:rsid w:val="00013AEC"/>
    <w:rsid w:val="000A20EE"/>
    <w:rsid w:val="000A51BB"/>
    <w:rsid w:val="000D5C24"/>
    <w:rsid w:val="000F6963"/>
    <w:rsid w:val="00113DFD"/>
    <w:rsid w:val="00136182"/>
    <w:rsid w:val="00175E24"/>
    <w:rsid w:val="001B12FC"/>
    <w:rsid w:val="001F3EFE"/>
    <w:rsid w:val="002278FC"/>
    <w:rsid w:val="00264938"/>
    <w:rsid w:val="002741B7"/>
    <w:rsid w:val="00291100"/>
    <w:rsid w:val="002B6241"/>
    <w:rsid w:val="00321224"/>
    <w:rsid w:val="00370DF9"/>
    <w:rsid w:val="003A295B"/>
    <w:rsid w:val="003D243F"/>
    <w:rsid w:val="003E4495"/>
    <w:rsid w:val="00425174"/>
    <w:rsid w:val="00473ADB"/>
    <w:rsid w:val="00473C9E"/>
    <w:rsid w:val="004D04E3"/>
    <w:rsid w:val="005C0AA1"/>
    <w:rsid w:val="005D4A16"/>
    <w:rsid w:val="005E3097"/>
    <w:rsid w:val="00601EE3"/>
    <w:rsid w:val="00607A5C"/>
    <w:rsid w:val="00611B41"/>
    <w:rsid w:val="006260C5"/>
    <w:rsid w:val="006427CC"/>
    <w:rsid w:val="0068302C"/>
    <w:rsid w:val="0074721A"/>
    <w:rsid w:val="0078363E"/>
    <w:rsid w:val="007B3DFF"/>
    <w:rsid w:val="007D6FE7"/>
    <w:rsid w:val="00854D28"/>
    <w:rsid w:val="00860CF4"/>
    <w:rsid w:val="008774AD"/>
    <w:rsid w:val="008B194B"/>
    <w:rsid w:val="008D7E8F"/>
    <w:rsid w:val="0095425E"/>
    <w:rsid w:val="00954B96"/>
    <w:rsid w:val="00A24322"/>
    <w:rsid w:val="00A26D4B"/>
    <w:rsid w:val="00A35BC6"/>
    <w:rsid w:val="00A41947"/>
    <w:rsid w:val="00A90E1E"/>
    <w:rsid w:val="00AC29BE"/>
    <w:rsid w:val="00AF2822"/>
    <w:rsid w:val="00B72288"/>
    <w:rsid w:val="00BB3F41"/>
    <w:rsid w:val="00BB7C9A"/>
    <w:rsid w:val="00C73387"/>
    <w:rsid w:val="00C94032"/>
    <w:rsid w:val="00CA6C17"/>
    <w:rsid w:val="00CB005A"/>
    <w:rsid w:val="00CB0243"/>
    <w:rsid w:val="00CC416B"/>
    <w:rsid w:val="00D121EA"/>
    <w:rsid w:val="00D8137E"/>
    <w:rsid w:val="00D8550C"/>
    <w:rsid w:val="00E140D1"/>
    <w:rsid w:val="00E2113E"/>
    <w:rsid w:val="00E3457B"/>
    <w:rsid w:val="00E5637B"/>
    <w:rsid w:val="00E7516A"/>
    <w:rsid w:val="00EB76EE"/>
    <w:rsid w:val="00ED71A3"/>
    <w:rsid w:val="00EE7DBD"/>
    <w:rsid w:val="00F1787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FCC3"/>
  <w15:chartTrackingRefBased/>
  <w15:docId w15:val="{E32E2447-F595-459E-8E1A-CAD51E59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FB6"/>
    <w:pPr>
      <w:jc w:val="both"/>
    </w:pPr>
    <w:rPr>
      <w:rFonts w:ascii="Arial" w:hAnsi="Arial"/>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B7C9A"/>
    <w:rPr>
      <w:color w:val="0000FF"/>
      <w:u w:val="single"/>
    </w:rPr>
  </w:style>
  <w:style w:type="paragraph" w:customStyle="1" w:styleId="show">
    <w:name w:val="show"/>
    <w:basedOn w:val="Normal"/>
    <w:rsid w:val="00BB7C9A"/>
    <w:pPr>
      <w:spacing w:before="100" w:beforeAutospacing="1" w:after="100" w:afterAutospacing="1" w:line="240" w:lineRule="auto"/>
      <w:jc w:val="left"/>
    </w:pPr>
    <w:rPr>
      <w:rFonts w:ascii="Times New Roman" w:eastAsia="Times New Roman" w:hAnsi="Times New Roman" w:cs="Times New Roman"/>
      <w:szCs w:val="24"/>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73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1</Pages>
  <Words>3280</Words>
  <Characters>18701</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dc:creator>
  <cp:keywords/>
  <dc:description/>
  <cp:lastModifiedBy>Mati</cp:lastModifiedBy>
  <cp:revision>7</cp:revision>
  <dcterms:created xsi:type="dcterms:W3CDTF">2018-07-17T21:43:00Z</dcterms:created>
  <dcterms:modified xsi:type="dcterms:W3CDTF">2018-07-18T10:44:00Z</dcterms:modified>
</cp:coreProperties>
</file>