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E12" w:rsidRDefault="00614097">
      <w:pPr>
        <w:pStyle w:val="Ttulo1"/>
        <w:jc w:val="center"/>
        <w:rPr>
          <w:rFonts w:ascii="Calibri" w:eastAsia="Calibri" w:hAnsi="Calibri" w:cs="Calibri"/>
          <w:sz w:val="22"/>
          <w:szCs w:val="22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sz w:val="22"/>
          <w:szCs w:val="22"/>
        </w:rPr>
        <w:t>FORMULARIO DE REVISIÓN</w:t>
      </w:r>
    </w:p>
    <w:p w:rsidR="002D4E12" w:rsidRDefault="006140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Revista MERCOSUR de Políticas Sociales –RMPS– agradece, en primer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lugar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su disponibilidad. </w:t>
      </w:r>
    </w:p>
    <w:p w:rsidR="002D4E12" w:rsidRDefault="006140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revisión solicitada consiste en la verificación del cumplimiento de las instrucciones para autor disponibles en:  </w:t>
      </w:r>
      <w:hyperlink r:id="rId7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http://ismercosur.org/wp-con</w:t>
        </w:r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tent/uploads/downloads/2017/11/instrucciones_autor_es_13nov.pdf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2D4E12" w:rsidRDefault="006140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Las instrucciones para autor mencionadas se han reflejado en este formulario para hacer el proceso de evaluación más objetivo y rápido. </w:t>
      </w:r>
    </w:p>
    <w:p w:rsidR="002D4E12" w:rsidRDefault="006140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evaluación necesariamente será considerada por los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editores de la RMPS y, finalmente, remitida a los autores. </w:t>
      </w:r>
    </w:p>
    <w:p w:rsidR="002D4E12" w:rsidRDefault="006140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 realización de la evaluación requerirá la emisión de una constancia de reconocimiento por su colaboración con la RMPS. </w:t>
      </w:r>
    </w:p>
    <w:p w:rsidR="002D4E12" w:rsidRDefault="00614097">
      <w:pPr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  <w:between w:val="nil"/>
        </w:pBdr>
        <w:shd w:val="clear" w:color="auto" w:fill="DEEBF6"/>
        <w:spacing w:before="100" w:after="10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Datos del artículo evaluado</w:t>
      </w:r>
    </w:p>
    <w:p w:rsidR="002D4E12" w:rsidRDefault="006140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Ronda Primera: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 xml:space="preserve">(  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X   )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Ronda Segunda: ( 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)</w:t>
      </w:r>
    </w:p>
    <w:p w:rsidR="002D4E12" w:rsidRDefault="006140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Título del artículo: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dimensão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social do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mercosul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em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espaços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fronteiriços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assimetrias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e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convergências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na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ATENÇÃO À SAUDE</w:t>
      </w:r>
    </w:p>
    <w:p w:rsidR="002D4E12" w:rsidRDefault="006140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LA DIMENSIÓN SOCIAL DEL MERCOSUR EN ESPACIOS FRONTERIZOS: ASIMETRÍAS Y CONVERGENCIAS EN LA ATENCIÓN DE LA SALUD</w:t>
      </w: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6140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Idioma: </w:t>
      </w:r>
      <w:r>
        <w:rPr>
          <w:rFonts w:ascii="Calibri" w:eastAsia="Calibri" w:hAnsi="Calibri" w:cs="Calibri"/>
          <w:color w:val="000000"/>
          <w:sz w:val="22"/>
          <w:szCs w:val="22"/>
        </w:rPr>
        <w:t>PORTUGUÉS</w:t>
      </w:r>
    </w:p>
    <w:p w:rsidR="002D4E12" w:rsidRDefault="006140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Fecha de recepción:16 OCTUBRE</w:t>
      </w:r>
    </w:p>
    <w:p w:rsidR="002D4E12" w:rsidRDefault="006140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Fecha de devolución de dictamen:  2 NOV.</w:t>
      </w: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2D4E12" w:rsidRDefault="00614097">
      <w:pPr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  <w:between w:val="nil"/>
        </w:pBdr>
        <w:shd w:val="clear" w:color="auto" w:fill="DEEBF6"/>
        <w:spacing w:before="100" w:after="10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Marque con X en qué nivel el artículo cumple con las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siguiente condiciones</w:t>
      </w:r>
      <w:proofErr w:type="gramEnd"/>
    </w:p>
    <w:tbl>
      <w:tblPr>
        <w:tblStyle w:val="a"/>
        <w:tblW w:w="10209" w:type="dxa"/>
        <w:tblInd w:w="0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20" w:firstRow="1" w:lastRow="0" w:firstColumn="0" w:lastColumn="0" w:noHBand="0" w:noVBand="1"/>
      </w:tblPr>
      <w:tblGrid>
        <w:gridCol w:w="6912"/>
        <w:gridCol w:w="1099"/>
        <w:gridCol w:w="1099"/>
        <w:gridCol w:w="1099"/>
      </w:tblGrid>
      <w:tr w:rsidR="002D4E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Medio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color w:val="000000"/>
                <w:sz w:val="22"/>
                <w:szCs w:val="22"/>
              </w:rPr>
              <w:t>Bajo</w:t>
            </w:r>
          </w:p>
        </w:tc>
      </w:tr>
      <w:tr w:rsidR="002D4E12">
        <w:tc>
          <w:tcPr>
            <w:tcW w:w="10209" w:type="dxa"/>
            <w:gridSpan w:val="4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Estructura del Trabajo</w:t>
            </w:r>
          </w:p>
        </w:tc>
      </w:tr>
      <w:tr w:rsidR="002D4E12">
        <w:tc>
          <w:tcPr>
            <w:tcW w:w="6912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 trabajo responde a las características de la publicación.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10209" w:type="dxa"/>
            <w:gridSpan w:val="4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Contenido del Trabajo</w:t>
            </w:r>
          </w:p>
        </w:tc>
      </w:tr>
      <w:tr w:rsidR="002D4E12">
        <w:tc>
          <w:tcPr>
            <w:tcW w:w="6912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 título y el resumen dan cuenta efectivamente de lo desarrollado en el trabajo.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La introducción sitúa adecuadamente el problema y los antecedentes de investigación, describe la estrategia de investigación.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 presenta claramente el objetivo del artículo. El objetivo se cumple.</w:t>
            </w:r>
          </w:p>
        </w:tc>
        <w:tc>
          <w:tcPr>
            <w:tcW w:w="1099" w:type="dxa"/>
          </w:tcPr>
          <w:p w:rsidR="002D4E12" w:rsidRDefault="00260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 señala su metodología y efectivamente desarrollada.</w:t>
            </w:r>
          </w:p>
        </w:tc>
        <w:tc>
          <w:tcPr>
            <w:tcW w:w="1099" w:type="dxa"/>
          </w:tcPr>
          <w:p w:rsidR="002D4E12" w:rsidRDefault="00260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:rsidR="002D4E12" w:rsidRDefault="00260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 bibliografía es actualizada, relevante y completa.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10209" w:type="dxa"/>
            <w:gridSpan w:val="4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Resultados / Presentación de Result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ados</w:t>
            </w: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:rsidR="002D4E12" w:rsidRDefault="00260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:rsidR="002D4E12" w:rsidRDefault="00260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:rsidR="002D4E12" w:rsidRDefault="00260B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Presenta gráficos, mapas o alguna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otra herramienta para explicar puntos específicos.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Estas herramientas, se presentan de forma clara y de acuerdo al estilo APA.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10209" w:type="dxa"/>
            <w:gridSpan w:val="4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Conclusiones</w:t>
            </w:r>
          </w:p>
        </w:tc>
      </w:tr>
      <w:tr w:rsidR="002D4E12">
        <w:tc>
          <w:tcPr>
            <w:tcW w:w="6912" w:type="dxa"/>
          </w:tcPr>
          <w:p w:rsidR="002D4E12" w:rsidRDefault="00614097">
            <w:pPr>
              <w:spacing w:after="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 trabajo representa un aporte a las discusiones y debates propios de su campo temático, y/o inicia nuevos debates en ese marco.</w:t>
            </w: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D4E12">
        <w:tc>
          <w:tcPr>
            <w:tcW w:w="6912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El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trabajo  brinda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un panorama contextual de la problemática tratada y ahonda en el estado de la cuestión.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</w:tcPr>
          <w:p w:rsidR="002D4E12" w:rsidRDefault="00614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2D4E12" w:rsidRDefault="002D4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D4E12" w:rsidRDefault="00614097">
      <w:pPr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  <w:between w:val="nil"/>
        </w:pBdr>
        <w:shd w:val="clear" w:color="auto" w:fill="DEEBF6"/>
        <w:spacing w:before="100" w:after="10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Comentarios y recomendaciones:</w:t>
      </w:r>
    </w:p>
    <w:p w:rsidR="002D4E12" w:rsidRDefault="00614097">
      <w:pPr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  <w:between w:val="nil"/>
        </w:pBdr>
        <w:shd w:val="clear" w:color="auto" w:fill="DEEBF6"/>
        <w:spacing w:before="100" w:after="10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El trabajo es publicable, sin embargo, si hubiera incorporado las peculiaridades socioeconómicas y de protección social en cada país que aborda</w:t>
      </w:r>
      <w:r w:rsidR="00260BFF">
        <w:rPr>
          <w:rFonts w:ascii="Calibri" w:eastAsia="Calibri" w:hAnsi="Calibri" w:cs="Calibri"/>
          <w:b/>
          <w:color w:val="000000"/>
          <w:sz w:val="22"/>
          <w:szCs w:val="22"/>
        </w:rPr>
        <w:t xml:space="preserve"> este estudio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lo cual se traducen en su modelo de salud</w:t>
      </w:r>
      <w:r w:rsidR="00260BFF">
        <w:rPr>
          <w:rFonts w:ascii="Calibri" w:eastAsia="Calibri" w:hAnsi="Calibri" w:cs="Calibri"/>
          <w:b/>
          <w:color w:val="000000"/>
          <w:sz w:val="22"/>
          <w:szCs w:val="22"/>
        </w:rPr>
        <w:t xml:space="preserve"> y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se expresa también en zonas de fr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onteras;</w:t>
      </w:r>
      <w:r w:rsidR="00260BFF">
        <w:rPr>
          <w:rFonts w:ascii="Calibri" w:eastAsia="Calibri" w:hAnsi="Calibri" w:cs="Calibri"/>
          <w:b/>
          <w:color w:val="000000"/>
          <w:sz w:val="22"/>
          <w:szCs w:val="22"/>
        </w:rPr>
        <w:t>…</w:t>
      </w:r>
      <w:bookmarkStart w:id="1" w:name="_GoBack"/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iba a ser un trabajo muy bien logrado.</w:t>
      </w: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2D4E12">
      <w:pPr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2D4E12" w:rsidRDefault="00614097">
      <w:pPr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  <w:between w:val="nil"/>
        </w:pBdr>
        <w:shd w:val="clear" w:color="auto" w:fill="DEEBF6"/>
        <w:spacing w:before="100" w:after="10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Dictamen</w:t>
      </w:r>
    </w:p>
    <w:tbl>
      <w:tblPr>
        <w:tblStyle w:val="a0"/>
        <w:tblW w:w="10209" w:type="dxa"/>
        <w:tblInd w:w="0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20" w:firstRow="1" w:lastRow="0" w:firstColumn="0" w:lastColumn="0" w:noHBand="0" w:noVBand="1"/>
      </w:tblPr>
      <w:tblGrid>
        <w:gridCol w:w="993"/>
        <w:gridCol w:w="9216"/>
      </w:tblGrid>
      <w:tr w:rsidR="002D4E12" w:rsidTr="002D4E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614097">
            <w:pPr>
              <w:spacing w:after="0"/>
              <w:rPr>
                <w:color w:val="000000"/>
              </w:rPr>
            </w:pPr>
            <w:r>
              <w:rPr>
                <w:b w:val="0"/>
                <w:color w:val="000000"/>
              </w:rPr>
              <w:t>X</w:t>
            </w: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614097">
            <w:pPr>
              <w:spacing w:after="0"/>
              <w:jc w:val="both"/>
              <w:rPr>
                <w:color w:val="000000"/>
              </w:rPr>
            </w:pPr>
            <w:r>
              <w:rPr>
                <w:b w:val="0"/>
                <w:color w:val="000000"/>
              </w:rPr>
              <w:t>Aceptar el Artículo: El texto es publicable como está o con mínimas correcciones.</w:t>
            </w:r>
          </w:p>
        </w:tc>
      </w:tr>
      <w:tr w:rsidR="002D4E12" w:rsidTr="002D4E12">
        <w:trPr>
          <w:trHeight w:val="30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2D4E12">
            <w:pPr>
              <w:spacing w:after="0"/>
              <w:rPr>
                <w:color w:val="000000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614097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El texto es publicable con cambios menores que no requieren una nueva evaluación.</w:t>
            </w:r>
          </w:p>
        </w:tc>
      </w:tr>
      <w:tr w:rsidR="002D4E12" w:rsidTr="002D4E12">
        <w:trPr>
          <w:trHeight w:val="30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2D4E12">
            <w:pPr>
              <w:spacing w:after="0"/>
              <w:rPr>
                <w:color w:val="000000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614097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El texto es publicable con cambios sustanciales y nueva evaluación.</w:t>
            </w:r>
          </w:p>
        </w:tc>
      </w:tr>
      <w:tr w:rsidR="002D4E12" w:rsidTr="002D4E12">
        <w:trPr>
          <w:trHeight w:val="32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2D4E12">
            <w:pPr>
              <w:spacing w:after="0"/>
              <w:rPr>
                <w:color w:val="000000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2D4E12" w:rsidRDefault="00614097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El texto NO es publicable en la Revista.</w:t>
            </w:r>
          </w:p>
        </w:tc>
      </w:tr>
    </w:tbl>
    <w:p w:rsidR="002D4E12" w:rsidRDefault="002D4E12">
      <w:pPr>
        <w:rPr>
          <w:rFonts w:ascii="Calibri" w:eastAsia="Calibri" w:hAnsi="Calibri" w:cs="Calibri"/>
          <w:sz w:val="22"/>
          <w:szCs w:val="22"/>
        </w:rPr>
      </w:pPr>
    </w:p>
    <w:p w:rsidR="002D4E12" w:rsidRDefault="002D4E12">
      <w:pPr>
        <w:rPr>
          <w:rFonts w:ascii="Calibri" w:eastAsia="Calibri" w:hAnsi="Calibri" w:cs="Calibri"/>
          <w:sz w:val="22"/>
          <w:szCs w:val="22"/>
        </w:rPr>
      </w:pPr>
    </w:p>
    <w:sectPr w:rsidR="002D4E12">
      <w:headerReference w:type="default" r:id="rId8"/>
      <w:footerReference w:type="default" r:id="rId9"/>
      <w:pgSz w:w="12240" w:h="15840"/>
      <w:pgMar w:top="2390" w:right="900" w:bottom="993" w:left="1440" w:header="720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097" w:rsidRDefault="00614097">
      <w:pPr>
        <w:spacing w:after="0" w:line="240" w:lineRule="auto"/>
      </w:pPr>
      <w:r>
        <w:separator/>
      </w:r>
    </w:p>
  </w:endnote>
  <w:endnote w:type="continuationSeparator" w:id="0">
    <w:p w:rsidR="00614097" w:rsidRDefault="0061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12" w:rsidRDefault="00614097">
    <w:pPr>
      <w:pBdr>
        <w:top w:val="nil"/>
        <w:left w:val="nil"/>
        <w:bottom w:val="nil"/>
        <w:right w:val="nil"/>
        <w:between w:val="nil"/>
      </w:pBdr>
      <w:spacing w:before="200" w:after="0" w:line="240" w:lineRule="auto"/>
      <w:jc w:val="right"/>
      <w:rPr>
        <w:rFonts w:ascii="Arial Black" w:eastAsia="Arial Black" w:hAnsi="Arial Black" w:cs="Arial Black"/>
        <w:color w:val="1F4E79"/>
        <w:sz w:val="20"/>
        <w:szCs w:val="20"/>
      </w:rPr>
    </w:pPr>
    <w:r>
      <w:rPr>
        <w:rFonts w:ascii="Arial Black" w:eastAsia="Arial Black" w:hAnsi="Arial Black" w:cs="Arial Black"/>
        <w:color w:val="1F4E79"/>
        <w:sz w:val="20"/>
        <w:szCs w:val="20"/>
      </w:rPr>
      <w:t>V1-2017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097" w:rsidRDefault="00614097">
      <w:pPr>
        <w:spacing w:after="0" w:line="240" w:lineRule="auto"/>
      </w:pPr>
      <w:r>
        <w:separator/>
      </w:r>
    </w:p>
  </w:footnote>
  <w:footnote w:type="continuationSeparator" w:id="0">
    <w:p w:rsidR="00614097" w:rsidRDefault="00614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E12" w:rsidRDefault="0061409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inline distT="0" distB="0" distL="0" distR="0">
          <wp:extent cx="6345621" cy="83268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7372" t="11687" r="21794" b="71779"/>
                  <a:stretch>
                    <a:fillRect/>
                  </a:stretch>
                </pic:blipFill>
                <pic:spPr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margin">
                <wp:posOffset>5930900</wp:posOffset>
              </wp:positionH>
              <wp:positionV relativeFrom="paragraph">
                <wp:posOffset>0</wp:posOffset>
              </wp:positionV>
              <wp:extent cx="348615" cy="315595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76455" y="3626965"/>
                        <a:ext cx="33909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D4E12" w:rsidRDefault="00614097">
                          <w:pPr>
                            <w:spacing w:before="200"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Arial Black" w:eastAsia="Arial Black" w:hAnsi="Arial Black" w:cs="Arial Black"/>
                              <w:color w:val="1F4E79"/>
                              <w:sz w:val="20"/>
                            </w:rPr>
                            <w:t>PAGE   \* MERGEFORMAT1</w:t>
                          </w:r>
                        </w:p>
                      </w:txbxContent>
                    </wps:txbx>
                    <wps:bodyPr spcFirstLastPara="1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Rectángulo 1" o:spid="_x0000_s1026" style="position:absolute;margin-left:467pt;margin-top:0;width:27.45pt;height:24.8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" filled="f" stroked="f">
              <v:textbox inset="0,0,0,0">
                <w:txbxContent>
                  <w:p w:rsidR="002D4E12" w:rsidRDefault="00614097">
                    <w:pPr>
                      <w:spacing w:before="200" w:after="0" w:line="240" w:lineRule="auto"/>
                      <w:jc w:val="right"/>
                      <w:textDirection w:val="btLr"/>
                    </w:pPr>
                    <w:r>
                      <w:rPr>
                        <w:rFonts w:ascii="Arial Black" w:eastAsia="Arial Black" w:hAnsi="Arial Black" w:cs="Arial Black"/>
                        <w:color w:val="1F4E79"/>
                        <w:sz w:val="20"/>
                      </w:rPr>
                      <w:t>PAGE   \* MERGEFORMAT1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E5389"/>
    <w:multiLevelType w:val="multilevel"/>
    <w:tmpl w:val="E8F0E5EC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12"/>
    <w:rsid w:val="00260BFF"/>
    <w:rsid w:val="002D4E12"/>
    <w:rsid w:val="0061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67D6"/>
  <w15:docId w15:val="{51953225-929F-4470-8499-75300A07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404040"/>
        <w:sz w:val="18"/>
        <w:szCs w:val="18"/>
        <w:lang w:val="es-PY" w:eastAsia="es-PY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600" w:after="240" w:line="240" w:lineRule="auto"/>
      <w:outlineLvl w:val="0"/>
    </w:pPr>
    <w:rPr>
      <w:b/>
      <w:smallCaps/>
      <w:color w:val="1F4E79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40" w:lineRule="auto"/>
      <w:ind w:left="360" w:hanging="360"/>
      <w:outlineLvl w:val="1"/>
    </w:pPr>
    <w:rPr>
      <w:b/>
      <w:color w:val="5B9BD5"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 w:line="259" w:lineRule="auto"/>
      <w:outlineLvl w:val="2"/>
    </w:pPr>
    <w:rPr>
      <w:rFonts w:ascii="Arial Black" w:eastAsia="Arial Black" w:hAnsi="Arial Black" w:cs="Arial Black"/>
      <w:color w:val="1E4D78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pBdr>
        <w:left w:val="single" w:sz="18" w:space="4" w:color="1F4E79"/>
      </w:pBdr>
      <w:spacing w:after="0" w:line="420" w:lineRule="auto"/>
    </w:pPr>
    <w:rPr>
      <w:rFonts w:ascii="Arial Black" w:eastAsia="Arial Black" w:hAnsi="Arial Black" w:cs="Arial Black"/>
      <w:smallCaps/>
      <w:color w:val="1F4E79"/>
      <w:sz w:val="38"/>
      <w:szCs w:val="38"/>
    </w:rPr>
  </w:style>
  <w:style w:type="paragraph" w:styleId="Subttulo">
    <w:name w:val="Subtitle"/>
    <w:basedOn w:val="Normal"/>
    <w:next w:val="Normal"/>
    <w:uiPriority w:val="11"/>
    <w:qFormat/>
    <w:pPr>
      <w:pBdr>
        <w:left w:val="single" w:sz="18" w:space="4" w:color="1F4E79"/>
      </w:pBdr>
      <w:spacing w:before="80" w:after="0" w:line="280" w:lineRule="auto"/>
    </w:pPr>
    <w:rPr>
      <w:b/>
      <w:color w:val="5B9BD5"/>
      <w:sz w:val="24"/>
      <w:szCs w:val="24"/>
    </w:rPr>
  </w:style>
  <w:style w:type="table" w:customStyle="1" w:styleId="a">
    <w:basedOn w:val="TableNormal"/>
    <w:pPr>
      <w:spacing w:before="120" w:after="120" w:line="240" w:lineRule="auto"/>
    </w:pPr>
    <w:tblPr>
      <w:tblStyleRowBandSize w:val="1"/>
      <w:tblStyleColBandSize w:val="1"/>
      <w:tblCellMar>
        <w:top w:w="29" w:type="dxa"/>
        <w:left w:w="144" w:type="dxa"/>
        <w:bottom w:w="29" w:type="dxa"/>
        <w:right w:w="144" w:type="dxa"/>
      </w:tblCellMar>
    </w:tblPr>
    <w:tcPr>
      <w:shd w:val="clear" w:color="auto" w:fill="DEEBF6"/>
    </w:tcPr>
    <w:tblStylePr w:type="firstRow">
      <w:pPr>
        <w:keepNext/>
      </w:pPr>
      <w:rPr>
        <w:b/>
      </w:rPr>
      <w:tblPr/>
      <w:tcPr>
        <w:shd w:val="clear" w:color="auto" w:fill="DEEBF6"/>
        <w:vAlign w:val="bottom"/>
      </w:tcPr>
    </w:tblStylePr>
    <w:tblStylePr w:type="lastRow">
      <w:rPr>
        <w:b/>
        <w:color w:val="FFFFFF"/>
      </w:rPr>
      <w:tblPr/>
      <w:tcPr>
        <w:shd w:val="clear" w:color="auto" w:fill="5B9BD5"/>
      </w:tcPr>
    </w:tblStylePr>
  </w:style>
  <w:style w:type="table" w:customStyle="1" w:styleId="a0">
    <w:basedOn w:val="TableNormal"/>
    <w:pPr>
      <w:spacing w:before="120" w:after="120" w:line="240" w:lineRule="auto"/>
    </w:pPr>
    <w:tblPr>
      <w:tblStyleRowBandSize w:val="1"/>
      <w:tblStyleColBandSize w:val="1"/>
      <w:tblCellMar>
        <w:top w:w="29" w:type="dxa"/>
        <w:left w:w="144" w:type="dxa"/>
        <w:bottom w:w="29" w:type="dxa"/>
        <w:right w:w="144" w:type="dxa"/>
      </w:tblCellMar>
    </w:tblPr>
    <w:tcPr>
      <w:shd w:val="clear" w:color="auto" w:fill="DEEBF6"/>
    </w:tcPr>
    <w:tblStylePr w:type="firstRow">
      <w:pPr>
        <w:keepNext/>
      </w:pPr>
      <w:rPr>
        <w:b/>
      </w:rPr>
      <w:tblPr/>
      <w:tcPr>
        <w:shd w:val="clear" w:color="auto" w:fill="DEEBF6"/>
        <w:vAlign w:val="bottom"/>
      </w:tcPr>
    </w:tblStylePr>
    <w:tblStylePr w:type="lastRow">
      <w:rPr>
        <w:b/>
        <w:color w:val="FFFFFF"/>
      </w:rPr>
      <w:tblPr/>
      <w:tcPr>
        <w:shd w:val="clear" w:color="auto" w:fill="5B9B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smercosur.org/wp-content/uploads/downloads/2017/11/instrucciones_autor_es_13no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Mary Garcia</dc:creator>
  <cp:lastModifiedBy>Stella Mary Garcia Aguero</cp:lastModifiedBy>
  <cp:revision>2</cp:revision>
  <dcterms:created xsi:type="dcterms:W3CDTF">2018-11-02T20:38:00Z</dcterms:created>
  <dcterms:modified xsi:type="dcterms:W3CDTF">2018-11-02T20:38:00Z</dcterms:modified>
</cp:coreProperties>
</file>