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E181D4" w14:textId="524BE06E" w:rsidR="00547063" w:rsidRPr="00A534BF" w:rsidRDefault="007A4401" w:rsidP="00684523">
      <w:pPr>
        <w:jc w:val="center"/>
        <w:rPr>
          <w:rFonts w:ascii="Times New Roman" w:hAnsi="Times New Roman" w:cs="Times New Roman"/>
          <w:sz w:val="24"/>
          <w:szCs w:val="24"/>
          <w:lang w:val="es-ES"/>
        </w:rPr>
      </w:pPr>
      <w:r w:rsidRPr="00A534BF">
        <w:rPr>
          <w:rFonts w:ascii="Times New Roman" w:hAnsi="Times New Roman" w:cs="Times New Roman"/>
          <w:sz w:val="24"/>
          <w:szCs w:val="24"/>
          <w:lang w:val="uz-Cyrl-UZ"/>
        </w:rPr>
        <w:t>EL MERCOSUR FRENTE A LAS ENFERMEDADES CRONICAS NO TRANSMISIBLES</w:t>
      </w:r>
      <w:r w:rsidR="00792F8D" w:rsidRPr="00A534BF">
        <w:rPr>
          <w:rFonts w:ascii="Times New Roman" w:hAnsi="Times New Roman" w:cs="Times New Roman"/>
          <w:sz w:val="24"/>
          <w:szCs w:val="24"/>
          <w:lang w:val="es-ES"/>
        </w:rPr>
        <w:t xml:space="preserve"> (ECNT)</w:t>
      </w:r>
    </w:p>
    <w:p w14:paraId="558D5B7C" w14:textId="77777777" w:rsidR="007A4401" w:rsidRPr="00A534BF" w:rsidRDefault="007A4401" w:rsidP="003B74A4">
      <w:pPr>
        <w:rPr>
          <w:rFonts w:ascii="Times New Roman" w:hAnsi="Times New Roman" w:cs="Times New Roman"/>
          <w:sz w:val="24"/>
          <w:szCs w:val="24"/>
          <w:lang w:val="es-AR"/>
        </w:rPr>
      </w:pPr>
      <w:bookmarkStart w:id="0" w:name="_GoBack"/>
      <w:bookmarkEnd w:id="0"/>
    </w:p>
    <w:p w14:paraId="2AFB87B4" w14:textId="77777777" w:rsidR="00E205CA" w:rsidRPr="00A534BF" w:rsidRDefault="00BE1684"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Presentación</w:t>
      </w:r>
    </w:p>
    <w:p w14:paraId="0E91CE33" w14:textId="081E8F1A" w:rsidR="00E205CA" w:rsidRPr="00A534BF" w:rsidRDefault="00E205CA"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Las enfermedades crónicas no transmisibles</w:t>
      </w:r>
      <w:r w:rsidR="00BE1684" w:rsidRPr="00A534BF">
        <w:rPr>
          <w:rFonts w:ascii="Times New Roman" w:hAnsi="Times New Roman" w:cs="Times New Roman"/>
          <w:sz w:val="24"/>
          <w:szCs w:val="24"/>
          <w:lang w:val="es-AR"/>
        </w:rPr>
        <w:t xml:space="preserve"> (ECNT)</w:t>
      </w:r>
      <w:r w:rsidRPr="00A534BF">
        <w:rPr>
          <w:rFonts w:ascii="Times New Roman" w:hAnsi="Times New Roman" w:cs="Times New Roman"/>
          <w:sz w:val="24"/>
          <w:szCs w:val="24"/>
          <w:lang w:val="es-AR"/>
        </w:rPr>
        <w:t xml:space="preserve"> constituyen un gran desafío global</w:t>
      </w:r>
      <w:r w:rsidR="00CD349E"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que afecta </w:t>
      </w:r>
      <w:r w:rsidR="00CD349E" w:rsidRPr="00A534BF">
        <w:rPr>
          <w:rFonts w:ascii="Times New Roman" w:hAnsi="Times New Roman" w:cs="Times New Roman"/>
          <w:sz w:val="24"/>
          <w:szCs w:val="24"/>
          <w:lang w:val="es-AR"/>
        </w:rPr>
        <w:t xml:space="preserve"> la </w:t>
      </w:r>
      <w:r w:rsidRPr="00A534BF">
        <w:rPr>
          <w:rFonts w:ascii="Times New Roman" w:hAnsi="Times New Roman" w:cs="Times New Roman"/>
          <w:sz w:val="24"/>
          <w:szCs w:val="24"/>
          <w:lang w:val="es-AR"/>
        </w:rPr>
        <w:t xml:space="preserve">situación de salud de la población a nivel </w:t>
      </w:r>
      <w:r w:rsidR="007A57AF" w:rsidRPr="00A534BF">
        <w:rPr>
          <w:rFonts w:ascii="Times New Roman" w:hAnsi="Times New Roman" w:cs="Times New Roman"/>
          <w:sz w:val="24"/>
          <w:szCs w:val="24"/>
          <w:lang w:val="es-AR"/>
        </w:rPr>
        <w:t>mundial</w:t>
      </w:r>
      <w:r w:rsidRPr="00A534BF">
        <w:rPr>
          <w:rFonts w:ascii="Times New Roman" w:hAnsi="Times New Roman" w:cs="Times New Roman"/>
          <w:sz w:val="24"/>
          <w:szCs w:val="24"/>
          <w:lang w:val="es-AR"/>
        </w:rPr>
        <w:t xml:space="preserve">. Una respuesta integral a las </w:t>
      </w:r>
      <w:r w:rsidR="00CD349E" w:rsidRPr="00A534BF">
        <w:rPr>
          <w:rFonts w:ascii="Times New Roman" w:hAnsi="Times New Roman" w:cs="Times New Roman"/>
          <w:sz w:val="24"/>
          <w:szCs w:val="24"/>
          <w:lang w:val="es-AR"/>
        </w:rPr>
        <w:t>ECNT</w:t>
      </w:r>
      <w:r w:rsidRPr="00A534BF">
        <w:rPr>
          <w:rFonts w:ascii="Times New Roman" w:hAnsi="Times New Roman" w:cs="Times New Roman"/>
          <w:sz w:val="24"/>
          <w:szCs w:val="24"/>
          <w:lang w:val="es-AR"/>
        </w:rPr>
        <w:t xml:space="preserve"> involucra articular y formular propuestas de políticas que van más alla del sector salud</w:t>
      </w:r>
      <w:r w:rsidR="00BE1684" w:rsidRPr="00A534BF">
        <w:rPr>
          <w:rFonts w:ascii="Times New Roman" w:hAnsi="Times New Roman" w:cs="Times New Roman"/>
          <w:sz w:val="24"/>
          <w:szCs w:val="24"/>
          <w:lang w:val="es-AR"/>
        </w:rPr>
        <w:t xml:space="preserve"> y</w:t>
      </w:r>
      <w:r w:rsidRPr="00A534BF">
        <w:rPr>
          <w:rFonts w:ascii="Times New Roman" w:hAnsi="Times New Roman" w:cs="Times New Roman"/>
          <w:sz w:val="24"/>
          <w:szCs w:val="24"/>
          <w:lang w:val="es-AR"/>
        </w:rPr>
        <w:t xml:space="preserve"> de los Estados Nacionales, involucrando a otros sectores, al sector privado y a la propia sociedad civil</w:t>
      </w:r>
      <w:r w:rsidR="00BE1684" w:rsidRPr="00A534BF">
        <w:rPr>
          <w:rFonts w:ascii="Times New Roman" w:hAnsi="Times New Roman" w:cs="Times New Roman"/>
          <w:sz w:val="24"/>
          <w:szCs w:val="24"/>
          <w:lang w:val="es-AR"/>
        </w:rPr>
        <w:t xml:space="preserve">, además de políticas </w:t>
      </w:r>
      <w:r w:rsidR="007A57AF" w:rsidRPr="00A534BF">
        <w:rPr>
          <w:rFonts w:ascii="Times New Roman" w:hAnsi="Times New Roman" w:cs="Times New Roman"/>
          <w:sz w:val="24"/>
          <w:szCs w:val="24"/>
          <w:lang w:val="es-AR"/>
        </w:rPr>
        <w:t xml:space="preserve">regionales y </w:t>
      </w:r>
      <w:r w:rsidR="00BE1684" w:rsidRPr="00A534BF">
        <w:rPr>
          <w:rFonts w:ascii="Times New Roman" w:hAnsi="Times New Roman" w:cs="Times New Roman"/>
          <w:sz w:val="24"/>
          <w:szCs w:val="24"/>
          <w:lang w:val="es-AR"/>
        </w:rPr>
        <w:t>globales</w:t>
      </w:r>
    </w:p>
    <w:p w14:paraId="0AA02AC9" w14:textId="176498E3" w:rsidR="00E205CA" w:rsidRPr="00A534BF" w:rsidRDefault="00E205CA" w:rsidP="003B74A4">
      <w:pPr>
        <w:rPr>
          <w:rFonts w:ascii="Times New Roman" w:hAnsi="Times New Roman" w:cs="Times New Roman"/>
          <w:color w:val="333333"/>
          <w:sz w:val="24"/>
          <w:szCs w:val="24"/>
          <w:lang w:val="es-ES"/>
        </w:rPr>
      </w:pPr>
      <w:r w:rsidRPr="00A534BF">
        <w:rPr>
          <w:rFonts w:ascii="Times New Roman" w:hAnsi="Times New Roman" w:cs="Times New Roman"/>
          <w:sz w:val="24"/>
          <w:szCs w:val="24"/>
          <w:lang w:val="es-AR"/>
        </w:rPr>
        <w:t>La identi</w:t>
      </w:r>
      <w:r w:rsidR="00CD349E" w:rsidRPr="00A534BF">
        <w:rPr>
          <w:rFonts w:ascii="Times New Roman" w:hAnsi="Times New Roman" w:cs="Times New Roman"/>
          <w:sz w:val="24"/>
          <w:szCs w:val="24"/>
          <w:lang w:val="es-AR"/>
        </w:rPr>
        <w:t>f</w:t>
      </w:r>
      <w:r w:rsidRPr="00A534BF">
        <w:rPr>
          <w:rFonts w:ascii="Times New Roman" w:hAnsi="Times New Roman" w:cs="Times New Roman"/>
          <w:sz w:val="24"/>
          <w:szCs w:val="24"/>
          <w:lang w:val="es-AR"/>
        </w:rPr>
        <w:t xml:space="preserve">icación de las </w:t>
      </w:r>
      <w:r w:rsidR="00CD349E" w:rsidRPr="00A534BF">
        <w:rPr>
          <w:rFonts w:ascii="Times New Roman" w:hAnsi="Times New Roman" w:cs="Times New Roman"/>
          <w:sz w:val="24"/>
          <w:szCs w:val="24"/>
          <w:lang w:val="es-AR"/>
        </w:rPr>
        <w:t xml:space="preserve">ECNT </w:t>
      </w:r>
      <w:r w:rsidRPr="00A534BF">
        <w:rPr>
          <w:rFonts w:ascii="Times New Roman" w:hAnsi="Times New Roman" w:cs="Times New Roman"/>
          <w:sz w:val="24"/>
          <w:szCs w:val="24"/>
          <w:lang w:val="es-AR"/>
        </w:rPr>
        <w:t xml:space="preserve">como un problema global ha llevado a las Naciones Unidas a organizar en 2011 la Reunión de Alto Nivel sobre  </w:t>
      </w:r>
      <w:r w:rsidRPr="00A534BF">
        <w:rPr>
          <w:rFonts w:ascii="Times New Roman" w:hAnsi="Times New Roman" w:cs="Times New Roman"/>
          <w:color w:val="333333"/>
          <w:sz w:val="24"/>
          <w:szCs w:val="24"/>
          <w:lang w:val="es-ES"/>
        </w:rPr>
        <w:t>Enfermedades No Transmisibles</w:t>
      </w:r>
      <w:r w:rsidR="004652F1" w:rsidRPr="00A534BF">
        <w:rPr>
          <w:rStyle w:val="Refdenotaalpie"/>
          <w:rFonts w:ascii="Times New Roman" w:hAnsi="Times New Roman" w:cs="Times New Roman"/>
          <w:color w:val="333333"/>
          <w:sz w:val="24"/>
          <w:szCs w:val="24"/>
          <w:lang w:val="es-ES"/>
        </w:rPr>
        <w:footnoteReference w:id="1"/>
      </w:r>
      <w:r w:rsidR="00792F8D" w:rsidRPr="00A534BF">
        <w:rPr>
          <w:rFonts w:ascii="Times New Roman" w:hAnsi="Times New Roman" w:cs="Times New Roman"/>
          <w:color w:val="333333"/>
          <w:sz w:val="24"/>
          <w:szCs w:val="24"/>
          <w:lang w:val="es-ES"/>
        </w:rPr>
        <w:t>, a</w:t>
      </w:r>
      <w:r w:rsidR="00CD349E" w:rsidRPr="00A534BF">
        <w:rPr>
          <w:rFonts w:ascii="Times New Roman" w:hAnsi="Times New Roman" w:cs="Times New Roman"/>
          <w:color w:val="333333"/>
          <w:sz w:val="24"/>
          <w:szCs w:val="24"/>
          <w:lang w:val="es-ES"/>
        </w:rPr>
        <w:t xml:space="preserve"> </w:t>
      </w:r>
      <w:r w:rsidRPr="00A534BF">
        <w:rPr>
          <w:rFonts w:ascii="Times New Roman" w:hAnsi="Times New Roman" w:cs="Times New Roman"/>
          <w:color w:val="333333"/>
          <w:sz w:val="24"/>
          <w:szCs w:val="24"/>
          <w:lang w:val="es-ES"/>
        </w:rPr>
        <w:t>la incorporación</w:t>
      </w:r>
      <w:r w:rsidR="00CD349E" w:rsidRPr="00A534BF">
        <w:rPr>
          <w:rFonts w:ascii="Times New Roman" w:hAnsi="Times New Roman" w:cs="Times New Roman"/>
          <w:color w:val="333333"/>
          <w:sz w:val="24"/>
          <w:szCs w:val="24"/>
          <w:lang w:val="es-ES"/>
        </w:rPr>
        <w:t xml:space="preserve"> de las mismas</w:t>
      </w:r>
      <w:r w:rsidRPr="00A534BF">
        <w:rPr>
          <w:rFonts w:ascii="Times New Roman" w:hAnsi="Times New Roman" w:cs="Times New Roman"/>
          <w:color w:val="333333"/>
          <w:sz w:val="24"/>
          <w:szCs w:val="24"/>
          <w:lang w:val="es-ES"/>
        </w:rPr>
        <w:t xml:space="preserve"> como mandato para las </w:t>
      </w:r>
      <w:r w:rsidR="00BE1684" w:rsidRPr="00A534BF">
        <w:rPr>
          <w:rFonts w:ascii="Times New Roman" w:hAnsi="Times New Roman" w:cs="Times New Roman"/>
          <w:color w:val="333333"/>
          <w:sz w:val="24"/>
          <w:szCs w:val="24"/>
          <w:lang w:val="es-ES"/>
        </w:rPr>
        <w:t>a</w:t>
      </w:r>
      <w:r w:rsidRPr="00A534BF">
        <w:rPr>
          <w:rFonts w:ascii="Times New Roman" w:hAnsi="Times New Roman" w:cs="Times New Roman"/>
          <w:color w:val="333333"/>
          <w:sz w:val="24"/>
          <w:szCs w:val="24"/>
          <w:lang w:val="es-ES"/>
        </w:rPr>
        <w:t xml:space="preserve">gencias </w:t>
      </w:r>
      <w:r w:rsidR="00BE1684" w:rsidRPr="00A534BF">
        <w:rPr>
          <w:rFonts w:ascii="Times New Roman" w:hAnsi="Times New Roman" w:cs="Times New Roman"/>
          <w:color w:val="333333"/>
          <w:sz w:val="24"/>
          <w:szCs w:val="24"/>
          <w:lang w:val="es-ES"/>
        </w:rPr>
        <w:t>e</w:t>
      </w:r>
      <w:r w:rsidRPr="00A534BF">
        <w:rPr>
          <w:rFonts w:ascii="Times New Roman" w:hAnsi="Times New Roman" w:cs="Times New Roman"/>
          <w:color w:val="333333"/>
          <w:sz w:val="24"/>
          <w:szCs w:val="24"/>
          <w:lang w:val="es-ES"/>
        </w:rPr>
        <w:t>specializadas del Sistema de Naciones Unidas</w:t>
      </w:r>
      <w:r w:rsidR="00BE1684" w:rsidRPr="00A534BF">
        <w:rPr>
          <w:rFonts w:ascii="Times New Roman" w:hAnsi="Times New Roman" w:cs="Times New Roman"/>
          <w:color w:val="333333"/>
          <w:sz w:val="24"/>
          <w:szCs w:val="24"/>
          <w:lang w:val="es-ES"/>
        </w:rPr>
        <w:t>,</w:t>
      </w:r>
      <w:r w:rsidRPr="00A534BF">
        <w:rPr>
          <w:rFonts w:ascii="Times New Roman" w:hAnsi="Times New Roman" w:cs="Times New Roman"/>
          <w:color w:val="333333"/>
          <w:sz w:val="24"/>
          <w:szCs w:val="24"/>
          <w:lang w:val="es-ES"/>
        </w:rPr>
        <w:t xml:space="preserve"> como la OMS</w:t>
      </w:r>
      <w:r w:rsidR="00BE1684" w:rsidRPr="00A534BF">
        <w:rPr>
          <w:rFonts w:ascii="Times New Roman" w:hAnsi="Times New Roman" w:cs="Times New Roman"/>
          <w:color w:val="333333"/>
          <w:sz w:val="24"/>
          <w:szCs w:val="24"/>
          <w:lang w:val="es-ES"/>
        </w:rPr>
        <w:t>,</w:t>
      </w:r>
      <w:r w:rsidRPr="00A534BF">
        <w:rPr>
          <w:rFonts w:ascii="Times New Roman" w:hAnsi="Times New Roman" w:cs="Times New Roman"/>
          <w:color w:val="333333"/>
          <w:sz w:val="24"/>
          <w:szCs w:val="24"/>
          <w:lang w:val="es-ES"/>
        </w:rPr>
        <w:t xml:space="preserve"> y </w:t>
      </w:r>
      <w:r w:rsidR="00792F8D" w:rsidRPr="00A534BF">
        <w:rPr>
          <w:rFonts w:ascii="Times New Roman" w:hAnsi="Times New Roman" w:cs="Times New Roman"/>
          <w:color w:val="333333"/>
          <w:sz w:val="24"/>
          <w:szCs w:val="24"/>
          <w:lang w:val="es-ES"/>
        </w:rPr>
        <w:t xml:space="preserve">a </w:t>
      </w:r>
      <w:r w:rsidRPr="00A534BF">
        <w:rPr>
          <w:rFonts w:ascii="Times New Roman" w:hAnsi="Times New Roman" w:cs="Times New Roman"/>
          <w:color w:val="333333"/>
          <w:sz w:val="24"/>
          <w:szCs w:val="24"/>
          <w:lang w:val="es-ES"/>
        </w:rPr>
        <w:t>la incorporación en la Agenda 2030</w:t>
      </w:r>
      <w:r w:rsidR="00CD349E" w:rsidRPr="00A534BF">
        <w:rPr>
          <w:rFonts w:ascii="Times New Roman" w:hAnsi="Times New Roman" w:cs="Times New Roman"/>
          <w:color w:val="333333"/>
          <w:sz w:val="24"/>
          <w:szCs w:val="24"/>
          <w:lang w:val="es-ES"/>
        </w:rPr>
        <w:t>,</w:t>
      </w:r>
      <w:r w:rsidRPr="00A534BF">
        <w:rPr>
          <w:rFonts w:ascii="Times New Roman" w:hAnsi="Times New Roman" w:cs="Times New Roman"/>
          <w:color w:val="333333"/>
          <w:sz w:val="24"/>
          <w:szCs w:val="24"/>
          <w:lang w:val="es-ES"/>
        </w:rPr>
        <w:t xml:space="preserve">  dentro de las  metas del ODS3: </w:t>
      </w:r>
      <w:r w:rsidRPr="00A534BF">
        <w:rPr>
          <w:rFonts w:ascii="Times New Roman" w:eastAsia="Times New Roman" w:hAnsi="Times New Roman" w:cs="Times New Roman"/>
          <w:i/>
          <w:color w:val="000000"/>
          <w:sz w:val="24"/>
          <w:szCs w:val="24"/>
          <w:lang w:val="uz-Cyrl-UZ" w:eastAsia="pt-BR"/>
        </w:rPr>
        <w:t>Garantizar una vida sana y promover el bienestar para todos en todas las edades.</w:t>
      </w:r>
    </w:p>
    <w:p w14:paraId="3D961399" w14:textId="0949F809" w:rsidR="008C4F62" w:rsidRPr="00A534BF" w:rsidRDefault="00E205CA" w:rsidP="003B74A4">
      <w:pPr>
        <w:rPr>
          <w:rFonts w:ascii="Times New Roman" w:hAnsi="Times New Roman" w:cs="Times New Roman"/>
          <w:sz w:val="24"/>
          <w:szCs w:val="24"/>
          <w:lang w:val="es-AR"/>
        </w:rPr>
      </w:pPr>
      <w:r w:rsidRPr="00A534BF">
        <w:rPr>
          <w:rFonts w:ascii="Times New Roman" w:hAnsi="Times New Roman" w:cs="Times New Roman"/>
          <w:color w:val="333333"/>
          <w:sz w:val="24"/>
          <w:szCs w:val="24"/>
          <w:lang w:val="es-ES"/>
        </w:rPr>
        <w:t>El presente artículo sostiene la hipótesis planteada en artículos anteriores</w:t>
      </w:r>
      <w:r w:rsidR="0053057D" w:rsidRPr="00A534BF">
        <w:rPr>
          <w:rStyle w:val="Refdenotaalpie"/>
          <w:rFonts w:ascii="Times New Roman" w:hAnsi="Times New Roman" w:cs="Times New Roman"/>
          <w:color w:val="333333"/>
          <w:sz w:val="24"/>
          <w:szCs w:val="24"/>
          <w:lang w:val="es-ES"/>
        </w:rPr>
        <w:footnoteReference w:id="2"/>
      </w:r>
      <w:r w:rsidRPr="00A534BF">
        <w:rPr>
          <w:rFonts w:ascii="Times New Roman" w:hAnsi="Times New Roman" w:cs="Times New Roman"/>
          <w:color w:val="333333"/>
          <w:sz w:val="24"/>
          <w:szCs w:val="24"/>
          <w:lang w:val="es-ES"/>
        </w:rPr>
        <w:t xml:space="preserve">, afirmando que las condiciones más adecuadas para abordar problemas de salud que trascienden las fronteras, como son las </w:t>
      </w:r>
      <w:r w:rsidR="00CD349E" w:rsidRPr="00A534BF">
        <w:rPr>
          <w:rFonts w:ascii="Times New Roman" w:hAnsi="Times New Roman" w:cs="Times New Roman"/>
          <w:color w:val="333333"/>
          <w:sz w:val="24"/>
          <w:szCs w:val="24"/>
          <w:lang w:val="es-ES"/>
        </w:rPr>
        <w:t>ECNT</w:t>
      </w:r>
      <w:r w:rsidRPr="00A534BF">
        <w:rPr>
          <w:rFonts w:ascii="Times New Roman" w:hAnsi="Times New Roman" w:cs="Times New Roman"/>
          <w:sz w:val="24"/>
          <w:szCs w:val="24"/>
          <w:lang w:val="es-AR"/>
        </w:rPr>
        <w:t xml:space="preserve">, </w:t>
      </w:r>
      <w:r w:rsidR="008C4F62" w:rsidRPr="00A534BF">
        <w:rPr>
          <w:rFonts w:ascii="Times New Roman" w:hAnsi="Times New Roman" w:cs="Times New Roman"/>
          <w:sz w:val="24"/>
          <w:szCs w:val="24"/>
          <w:lang w:val="es-AR"/>
        </w:rPr>
        <w:t>se encuentra a nivel regional o subregional.</w:t>
      </w:r>
    </w:p>
    <w:p w14:paraId="417A9F5C" w14:textId="768A8A49" w:rsidR="008C4F62" w:rsidRPr="00A534BF" w:rsidRDefault="008C4F62"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Postulamos que los arreglos institucionales que abordan la salud en el  MERCOSUR, como parte de esa gobernanza regional de la salud</w:t>
      </w:r>
      <w:r w:rsidR="00BE1684"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permite oportunidades de suma importancia para el abordaje de las </w:t>
      </w:r>
      <w:r w:rsidR="00CD349E" w:rsidRPr="00A534BF">
        <w:rPr>
          <w:rFonts w:ascii="Times New Roman" w:hAnsi="Times New Roman" w:cs="Times New Roman"/>
          <w:sz w:val="24"/>
          <w:szCs w:val="24"/>
          <w:lang w:val="es-AR"/>
        </w:rPr>
        <w:t xml:space="preserve">ECNT </w:t>
      </w:r>
      <w:r w:rsidRPr="00A534BF">
        <w:rPr>
          <w:rFonts w:ascii="Times New Roman" w:hAnsi="Times New Roman" w:cs="Times New Roman"/>
          <w:sz w:val="24"/>
          <w:szCs w:val="24"/>
          <w:lang w:val="es-AR"/>
        </w:rPr>
        <w:t xml:space="preserve">a nivel de los países del bloque, así como para contribuir a los compromisos globales, como la Agenda 2030 y  </w:t>
      </w:r>
      <w:r w:rsidR="00CD349E" w:rsidRPr="00A534BF">
        <w:rPr>
          <w:rFonts w:ascii="Times New Roman" w:hAnsi="Times New Roman" w:cs="Times New Roman"/>
          <w:sz w:val="24"/>
          <w:szCs w:val="24"/>
          <w:lang w:val="es-AR"/>
        </w:rPr>
        <w:t xml:space="preserve">sus </w:t>
      </w:r>
      <w:r w:rsidRPr="00A534BF">
        <w:rPr>
          <w:rFonts w:ascii="Times New Roman" w:hAnsi="Times New Roman" w:cs="Times New Roman"/>
          <w:sz w:val="24"/>
          <w:szCs w:val="24"/>
          <w:lang w:val="es-AR"/>
        </w:rPr>
        <w:t xml:space="preserve">ODS. </w:t>
      </w:r>
    </w:p>
    <w:p w14:paraId="184070E7" w14:textId="15F66392" w:rsidR="00E205CA" w:rsidRPr="00A534BF" w:rsidRDefault="00E73F4C" w:rsidP="003B74A4">
      <w:pPr>
        <w:rPr>
          <w:rFonts w:ascii="Times New Roman" w:hAnsi="Times New Roman" w:cs="Times New Roman"/>
          <w:color w:val="333333"/>
          <w:sz w:val="24"/>
          <w:szCs w:val="24"/>
          <w:lang w:val="es-ES"/>
        </w:rPr>
      </w:pPr>
      <w:r w:rsidRPr="00A534BF">
        <w:rPr>
          <w:rFonts w:ascii="Times New Roman" w:hAnsi="Times New Roman" w:cs="Times New Roman"/>
          <w:color w:val="333333"/>
          <w:sz w:val="24"/>
          <w:szCs w:val="24"/>
          <w:lang w:val="es-ES"/>
        </w:rPr>
        <w:t xml:space="preserve">En tal sentido, primero se analizará la situación </w:t>
      </w:r>
      <w:r w:rsidR="007A57AF" w:rsidRPr="00A534BF">
        <w:rPr>
          <w:rFonts w:ascii="Times New Roman" w:hAnsi="Times New Roman" w:cs="Times New Roman"/>
          <w:color w:val="333333"/>
          <w:sz w:val="24"/>
          <w:szCs w:val="24"/>
          <w:lang w:val="es-ES"/>
        </w:rPr>
        <w:t xml:space="preserve">de </w:t>
      </w:r>
      <w:r w:rsidRPr="00A534BF">
        <w:rPr>
          <w:rFonts w:ascii="Times New Roman" w:hAnsi="Times New Roman" w:cs="Times New Roman"/>
          <w:color w:val="333333"/>
          <w:sz w:val="24"/>
          <w:szCs w:val="24"/>
          <w:lang w:val="es-ES"/>
        </w:rPr>
        <w:t>salud de los países del bloque</w:t>
      </w:r>
      <w:r w:rsidR="00CD349E" w:rsidRPr="00A534BF">
        <w:rPr>
          <w:rFonts w:ascii="Times New Roman" w:hAnsi="Times New Roman" w:cs="Times New Roman"/>
          <w:color w:val="333333"/>
          <w:sz w:val="24"/>
          <w:szCs w:val="24"/>
          <w:lang w:val="es-ES"/>
        </w:rPr>
        <w:t>,</w:t>
      </w:r>
      <w:r w:rsidRPr="00A534BF">
        <w:rPr>
          <w:rFonts w:ascii="Times New Roman" w:hAnsi="Times New Roman" w:cs="Times New Roman"/>
          <w:color w:val="333333"/>
          <w:sz w:val="24"/>
          <w:szCs w:val="24"/>
          <w:lang w:val="es-ES"/>
        </w:rPr>
        <w:t xml:space="preserve"> en particular</w:t>
      </w:r>
      <w:r w:rsidR="007A57AF" w:rsidRPr="00A534BF">
        <w:rPr>
          <w:rFonts w:ascii="Times New Roman" w:hAnsi="Times New Roman" w:cs="Times New Roman"/>
          <w:color w:val="333333"/>
          <w:sz w:val="24"/>
          <w:szCs w:val="24"/>
          <w:lang w:val="es-ES"/>
        </w:rPr>
        <w:t xml:space="preserve"> cuanto a</w:t>
      </w:r>
      <w:r w:rsidRPr="00A534BF">
        <w:rPr>
          <w:rFonts w:ascii="Times New Roman" w:hAnsi="Times New Roman" w:cs="Times New Roman"/>
          <w:color w:val="333333"/>
          <w:sz w:val="24"/>
          <w:szCs w:val="24"/>
          <w:lang w:val="es-ES"/>
        </w:rPr>
        <w:t xml:space="preserve">  las </w:t>
      </w:r>
      <w:r w:rsidR="00CD349E" w:rsidRPr="00A534BF">
        <w:rPr>
          <w:rFonts w:ascii="Times New Roman" w:hAnsi="Times New Roman" w:cs="Times New Roman"/>
          <w:color w:val="333333"/>
          <w:sz w:val="24"/>
          <w:szCs w:val="24"/>
          <w:lang w:val="es-ES"/>
        </w:rPr>
        <w:t>ECNT</w:t>
      </w:r>
      <w:r w:rsidRPr="00A534BF">
        <w:rPr>
          <w:rFonts w:ascii="Times New Roman" w:hAnsi="Times New Roman" w:cs="Times New Roman"/>
          <w:color w:val="333333"/>
          <w:sz w:val="24"/>
          <w:szCs w:val="24"/>
          <w:lang w:val="es-ES"/>
        </w:rPr>
        <w:t xml:space="preserve">, luego </w:t>
      </w:r>
      <w:r w:rsidR="007A57AF" w:rsidRPr="00A534BF">
        <w:rPr>
          <w:rFonts w:ascii="Times New Roman" w:hAnsi="Times New Roman" w:cs="Times New Roman"/>
          <w:color w:val="333333"/>
          <w:sz w:val="24"/>
          <w:szCs w:val="24"/>
          <w:lang w:val="es-ES"/>
        </w:rPr>
        <w:t xml:space="preserve"> </w:t>
      </w:r>
      <w:r w:rsidR="00792F8D" w:rsidRPr="00A534BF">
        <w:rPr>
          <w:rFonts w:ascii="Times New Roman" w:hAnsi="Times New Roman" w:cs="Times New Roman"/>
          <w:color w:val="333333"/>
          <w:sz w:val="24"/>
          <w:szCs w:val="24"/>
          <w:lang w:val="es-ES"/>
        </w:rPr>
        <w:t xml:space="preserve">se </w:t>
      </w:r>
      <w:r w:rsidR="007A57AF" w:rsidRPr="00A534BF">
        <w:rPr>
          <w:rFonts w:ascii="Times New Roman" w:hAnsi="Times New Roman" w:cs="Times New Roman"/>
          <w:color w:val="333333"/>
          <w:sz w:val="24"/>
          <w:szCs w:val="24"/>
          <w:lang w:val="es-ES"/>
        </w:rPr>
        <w:t>examinar</w:t>
      </w:r>
      <w:r w:rsidR="00792F8D" w:rsidRPr="00A534BF">
        <w:rPr>
          <w:rFonts w:ascii="Times New Roman" w:hAnsi="Times New Roman" w:cs="Times New Roman"/>
          <w:color w:val="333333"/>
          <w:sz w:val="24"/>
          <w:szCs w:val="24"/>
          <w:lang w:val="es-ES"/>
        </w:rPr>
        <w:t>á</w:t>
      </w:r>
      <w:r w:rsidR="007A57AF" w:rsidRPr="00A534BF">
        <w:rPr>
          <w:rFonts w:ascii="Times New Roman" w:hAnsi="Times New Roman" w:cs="Times New Roman"/>
          <w:color w:val="333333"/>
          <w:sz w:val="24"/>
          <w:szCs w:val="24"/>
          <w:lang w:val="es-ES"/>
        </w:rPr>
        <w:t xml:space="preserve"> </w:t>
      </w:r>
      <w:r w:rsidRPr="00A534BF">
        <w:rPr>
          <w:rFonts w:ascii="Times New Roman" w:hAnsi="Times New Roman" w:cs="Times New Roman"/>
          <w:color w:val="333333"/>
          <w:sz w:val="24"/>
          <w:szCs w:val="24"/>
          <w:lang w:val="es-ES"/>
        </w:rPr>
        <w:t xml:space="preserve">que se ha hecho desde los foros del MERCOSUR Salud en relación a </w:t>
      </w:r>
      <w:r w:rsidR="00CD349E" w:rsidRPr="00A534BF">
        <w:rPr>
          <w:rFonts w:ascii="Times New Roman" w:hAnsi="Times New Roman" w:cs="Times New Roman"/>
          <w:color w:val="333333"/>
          <w:sz w:val="24"/>
          <w:szCs w:val="24"/>
          <w:lang w:val="es-ES"/>
        </w:rPr>
        <w:t>las mismas  y</w:t>
      </w:r>
      <w:r w:rsidRPr="00A534BF">
        <w:rPr>
          <w:rFonts w:ascii="Times New Roman" w:hAnsi="Times New Roman" w:cs="Times New Roman"/>
          <w:color w:val="333333"/>
          <w:sz w:val="24"/>
          <w:szCs w:val="24"/>
          <w:lang w:val="es-ES"/>
        </w:rPr>
        <w:t>, finalmente</w:t>
      </w:r>
      <w:r w:rsidR="00CD349E" w:rsidRPr="00A534BF">
        <w:rPr>
          <w:rFonts w:ascii="Times New Roman" w:hAnsi="Times New Roman" w:cs="Times New Roman"/>
          <w:color w:val="333333"/>
          <w:sz w:val="24"/>
          <w:szCs w:val="24"/>
          <w:lang w:val="es-ES"/>
        </w:rPr>
        <w:t>,</w:t>
      </w:r>
      <w:r w:rsidRPr="00A534BF">
        <w:rPr>
          <w:rFonts w:ascii="Times New Roman" w:hAnsi="Times New Roman" w:cs="Times New Roman"/>
          <w:color w:val="333333"/>
          <w:sz w:val="24"/>
          <w:szCs w:val="24"/>
          <w:lang w:val="es-ES"/>
        </w:rPr>
        <w:t xml:space="preserve"> </w:t>
      </w:r>
      <w:r w:rsidR="007A57AF" w:rsidRPr="00A534BF">
        <w:rPr>
          <w:rFonts w:ascii="Times New Roman" w:hAnsi="Times New Roman" w:cs="Times New Roman"/>
          <w:color w:val="333333"/>
          <w:sz w:val="24"/>
          <w:szCs w:val="24"/>
          <w:lang w:val="es-ES"/>
        </w:rPr>
        <w:t xml:space="preserve">se </w:t>
      </w:r>
      <w:r w:rsidRPr="00A534BF">
        <w:rPr>
          <w:rFonts w:ascii="Times New Roman" w:hAnsi="Times New Roman" w:cs="Times New Roman"/>
          <w:color w:val="333333"/>
          <w:sz w:val="24"/>
          <w:szCs w:val="24"/>
          <w:lang w:val="es-ES"/>
        </w:rPr>
        <w:t>postular</w:t>
      </w:r>
      <w:r w:rsidR="007A57AF" w:rsidRPr="00A534BF">
        <w:rPr>
          <w:rFonts w:ascii="Times New Roman" w:hAnsi="Times New Roman" w:cs="Times New Roman"/>
          <w:color w:val="333333"/>
          <w:sz w:val="24"/>
          <w:szCs w:val="24"/>
          <w:lang w:val="es-ES"/>
        </w:rPr>
        <w:t xml:space="preserve">á </w:t>
      </w:r>
      <w:r w:rsidRPr="00A534BF">
        <w:rPr>
          <w:rFonts w:ascii="Times New Roman" w:hAnsi="Times New Roman" w:cs="Times New Roman"/>
          <w:color w:val="333333"/>
          <w:sz w:val="24"/>
          <w:szCs w:val="24"/>
          <w:lang w:val="es-ES"/>
        </w:rPr>
        <w:t xml:space="preserve"> algunas oportunidades para avanzar en relación a estas enfermedades desde los arreglos organizacionales que abordan la salud.</w:t>
      </w:r>
    </w:p>
    <w:p w14:paraId="7B3817A5" w14:textId="77777777" w:rsidR="00E73F4C" w:rsidRPr="00A534BF" w:rsidRDefault="00E73F4C" w:rsidP="003B74A4">
      <w:pPr>
        <w:rPr>
          <w:rFonts w:ascii="Times New Roman" w:hAnsi="Times New Roman" w:cs="Times New Roman"/>
          <w:color w:val="333333"/>
          <w:sz w:val="24"/>
          <w:szCs w:val="24"/>
          <w:lang w:val="es-ES"/>
        </w:rPr>
      </w:pPr>
    </w:p>
    <w:p w14:paraId="31F00AF4" w14:textId="6A52B0AF" w:rsidR="00E73F4C" w:rsidRPr="00A534BF" w:rsidRDefault="00E73F4C" w:rsidP="003B74A4">
      <w:pPr>
        <w:rPr>
          <w:rFonts w:ascii="Times New Roman" w:hAnsi="Times New Roman" w:cs="Times New Roman"/>
          <w:color w:val="333333"/>
          <w:sz w:val="24"/>
          <w:szCs w:val="24"/>
          <w:lang w:val="es-ES"/>
        </w:rPr>
      </w:pPr>
      <w:r w:rsidRPr="00A534BF">
        <w:rPr>
          <w:rFonts w:ascii="Times New Roman" w:hAnsi="Times New Roman" w:cs="Times New Roman"/>
          <w:color w:val="333333"/>
          <w:sz w:val="24"/>
          <w:szCs w:val="24"/>
          <w:lang w:val="es-ES"/>
        </w:rPr>
        <w:t>Introducción</w:t>
      </w:r>
    </w:p>
    <w:p w14:paraId="60E10FC6" w14:textId="28D7CF38" w:rsidR="00C77711" w:rsidRPr="00A534BF" w:rsidRDefault="00C77711"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Enfermedades crónicas no transmisibles</w:t>
      </w:r>
      <w:r w:rsidR="007A57AF" w:rsidRPr="00A534BF">
        <w:rPr>
          <w:rFonts w:ascii="Times New Roman" w:hAnsi="Times New Roman" w:cs="Times New Roman"/>
          <w:sz w:val="24"/>
          <w:szCs w:val="24"/>
          <w:lang w:val="es-AR"/>
        </w:rPr>
        <w:t xml:space="preserve"> (ECNT)</w:t>
      </w:r>
      <w:r w:rsidRPr="00A534BF">
        <w:rPr>
          <w:rFonts w:ascii="Times New Roman" w:hAnsi="Times New Roman" w:cs="Times New Roman"/>
          <w:sz w:val="24"/>
          <w:szCs w:val="24"/>
          <w:lang w:val="es-AR"/>
        </w:rPr>
        <w:t>, como las cardiovasculares, el cáncer, la diabetes y las enfermedades respiratorias</w:t>
      </w:r>
      <w:r w:rsidR="007A57AF" w:rsidRPr="00A534BF">
        <w:rPr>
          <w:rFonts w:ascii="Times New Roman" w:hAnsi="Times New Roman" w:cs="Times New Roman"/>
          <w:sz w:val="24"/>
          <w:szCs w:val="24"/>
          <w:lang w:val="es-AR"/>
        </w:rPr>
        <w:t xml:space="preserve"> crónicas</w:t>
      </w:r>
      <w:r w:rsidRPr="00A534BF">
        <w:rPr>
          <w:rFonts w:ascii="Times New Roman" w:hAnsi="Times New Roman" w:cs="Times New Roman"/>
          <w:sz w:val="24"/>
          <w:szCs w:val="24"/>
          <w:lang w:val="es-AR"/>
        </w:rPr>
        <w:t xml:space="preserve"> representan una gran amenaza para la salud a nivel global. Según datos de la OMS</w:t>
      </w:r>
      <w:r w:rsidR="00684523" w:rsidRPr="00A534BF">
        <w:rPr>
          <w:rStyle w:val="Refdenotaalpie"/>
          <w:rFonts w:ascii="Times New Roman" w:hAnsi="Times New Roman" w:cs="Times New Roman"/>
          <w:sz w:val="24"/>
          <w:szCs w:val="24"/>
          <w:lang w:val="es-AR"/>
        </w:rPr>
        <w:footnoteReference w:id="3"/>
      </w:r>
      <w:r w:rsidRPr="00A534BF">
        <w:rPr>
          <w:rFonts w:ascii="Times New Roman" w:hAnsi="Times New Roman" w:cs="Times New Roman"/>
          <w:sz w:val="24"/>
          <w:szCs w:val="24"/>
          <w:lang w:val="es-AR"/>
        </w:rPr>
        <w:t>, estas cuatro enfermedades causan del</w:t>
      </w:r>
      <w:r w:rsidR="0062708E" w:rsidRPr="00A534BF">
        <w:rPr>
          <w:rFonts w:ascii="Times New Roman" w:hAnsi="Times New Roman" w:cs="Times New Roman"/>
          <w:sz w:val="24"/>
          <w:szCs w:val="24"/>
          <w:lang w:val="es-AR"/>
        </w:rPr>
        <w:t xml:space="preserve"> 80</w:t>
      </w:r>
      <w:r w:rsidRPr="00A534BF">
        <w:rPr>
          <w:rFonts w:ascii="Times New Roman" w:hAnsi="Times New Roman" w:cs="Times New Roman"/>
          <w:sz w:val="24"/>
          <w:szCs w:val="24"/>
          <w:lang w:val="es-AR"/>
        </w:rPr>
        <w:t>% de las</w:t>
      </w:r>
      <w:r w:rsidR="0062708E" w:rsidRPr="00A534BF">
        <w:rPr>
          <w:rFonts w:ascii="Times New Roman" w:hAnsi="Times New Roman" w:cs="Times New Roman"/>
          <w:sz w:val="24"/>
          <w:szCs w:val="24"/>
          <w:lang w:val="es-AR"/>
        </w:rPr>
        <w:t xml:space="preserve"> muertes que se producen en el mundo. </w:t>
      </w:r>
      <w:r w:rsidR="00BE1684" w:rsidRPr="00A534BF">
        <w:rPr>
          <w:rFonts w:ascii="Times New Roman" w:hAnsi="Times New Roman" w:cs="Times New Roman"/>
          <w:sz w:val="24"/>
          <w:szCs w:val="24"/>
          <w:lang w:val="es-AR"/>
        </w:rPr>
        <w:t>Quince</w:t>
      </w:r>
      <w:r w:rsidR="0062708E" w:rsidRPr="00A534BF">
        <w:rPr>
          <w:rFonts w:ascii="Times New Roman" w:hAnsi="Times New Roman" w:cs="Times New Roman"/>
          <w:sz w:val="24"/>
          <w:szCs w:val="24"/>
          <w:lang w:val="es-AR"/>
        </w:rPr>
        <w:t xml:space="preserve"> millones de personas de entre </w:t>
      </w:r>
      <w:r w:rsidR="0062708E" w:rsidRPr="00A534BF">
        <w:rPr>
          <w:rFonts w:ascii="Times New Roman" w:hAnsi="Times New Roman" w:cs="Times New Roman"/>
          <w:sz w:val="24"/>
          <w:szCs w:val="24"/>
          <w:lang w:val="es-AR"/>
        </w:rPr>
        <w:lastRenderedPageBreak/>
        <w:t>30 y 69 años de edad mueren</w:t>
      </w:r>
      <w:r w:rsidR="00BE1684" w:rsidRPr="00A534BF">
        <w:rPr>
          <w:rFonts w:ascii="Times New Roman" w:hAnsi="Times New Roman" w:cs="Times New Roman"/>
          <w:sz w:val="24"/>
          <w:szCs w:val="24"/>
          <w:lang w:val="es-AR"/>
        </w:rPr>
        <w:t xml:space="preserve"> prematuramente por ECNT, </w:t>
      </w:r>
      <w:r w:rsidR="0062708E" w:rsidRPr="00A534BF">
        <w:rPr>
          <w:rFonts w:ascii="Times New Roman" w:hAnsi="Times New Roman" w:cs="Times New Roman"/>
          <w:sz w:val="24"/>
          <w:szCs w:val="24"/>
          <w:lang w:val="es-AR"/>
        </w:rPr>
        <w:t xml:space="preserve"> mas del 85% de </w:t>
      </w:r>
      <w:r w:rsidR="00BE1684" w:rsidRPr="00A534BF">
        <w:rPr>
          <w:rFonts w:ascii="Times New Roman" w:hAnsi="Times New Roman" w:cs="Times New Roman"/>
          <w:sz w:val="24"/>
          <w:szCs w:val="24"/>
          <w:lang w:val="es-AR"/>
        </w:rPr>
        <w:t xml:space="preserve">las mismas </w:t>
      </w:r>
      <w:r w:rsidR="0062708E" w:rsidRPr="00A534BF">
        <w:rPr>
          <w:rFonts w:ascii="Times New Roman" w:hAnsi="Times New Roman" w:cs="Times New Roman"/>
          <w:sz w:val="24"/>
          <w:szCs w:val="24"/>
          <w:lang w:val="es-AR"/>
        </w:rPr>
        <w:t xml:space="preserve"> en países de ingresos medios y bajos</w:t>
      </w:r>
      <w:r w:rsidRPr="00A534BF">
        <w:rPr>
          <w:rFonts w:ascii="Times New Roman" w:hAnsi="Times New Roman" w:cs="Times New Roman"/>
          <w:sz w:val="24"/>
          <w:szCs w:val="24"/>
          <w:lang w:val="es-AR"/>
        </w:rPr>
        <w:t xml:space="preserve">. </w:t>
      </w:r>
    </w:p>
    <w:p w14:paraId="379D5BA3" w14:textId="7A5E77D4" w:rsidR="00C23D80" w:rsidRPr="00A534BF" w:rsidRDefault="00C77711" w:rsidP="003B74A4">
      <w:pPr>
        <w:rPr>
          <w:rStyle w:val="shorttext"/>
          <w:rFonts w:ascii="Times New Roman" w:hAnsi="Times New Roman" w:cs="Times New Roman"/>
          <w:color w:val="222222"/>
          <w:sz w:val="24"/>
          <w:szCs w:val="24"/>
          <w:lang w:val="es-ES"/>
        </w:rPr>
      </w:pPr>
      <w:r w:rsidRPr="00A534BF">
        <w:rPr>
          <w:rFonts w:ascii="Times New Roman" w:hAnsi="Times New Roman" w:cs="Times New Roman"/>
          <w:sz w:val="24"/>
          <w:szCs w:val="24"/>
          <w:lang w:val="es-AR"/>
        </w:rPr>
        <w:t>Importantes factores de riesgo afectan a las ECNT, como son el tabaco, la alimentación inadecuada, la inactividad física y el consumo nocivo de alcohol, todos ellos determinantes sociales evitables y prevenibles, y responsables de las epidemias de sobrepeso y obesidad, diabetes, hipertensión arterial y de colesterol elevado.</w:t>
      </w:r>
      <w:r w:rsidR="00CD349E" w:rsidRPr="00A534BF">
        <w:rPr>
          <w:rFonts w:ascii="Times New Roman" w:hAnsi="Times New Roman" w:cs="Times New Roman"/>
          <w:sz w:val="24"/>
          <w:szCs w:val="24"/>
          <w:lang w:val="es-AR"/>
        </w:rPr>
        <w:t xml:space="preserve"> E</w:t>
      </w:r>
      <w:r w:rsidRPr="00A534BF">
        <w:rPr>
          <w:rFonts w:ascii="Times New Roman" w:hAnsi="Times New Roman" w:cs="Times New Roman"/>
          <w:sz w:val="24"/>
          <w:szCs w:val="24"/>
          <w:lang w:val="es-AR"/>
        </w:rPr>
        <w:t>l consumo de tabaco</w:t>
      </w:r>
      <w:r w:rsidR="00CD349E" w:rsidRPr="00A534BF">
        <w:rPr>
          <w:rFonts w:ascii="Times New Roman" w:hAnsi="Times New Roman" w:cs="Times New Roman"/>
          <w:sz w:val="24"/>
          <w:szCs w:val="24"/>
          <w:lang w:val="es-AR"/>
        </w:rPr>
        <w:t>, por ejemplo,</w:t>
      </w:r>
      <w:r w:rsidRPr="00A534BF">
        <w:rPr>
          <w:rFonts w:ascii="Times New Roman" w:hAnsi="Times New Roman" w:cs="Times New Roman"/>
          <w:sz w:val="24"/>
          <w:szCs w:val="24"/>
          <w:lang w:val="es-AR"/>
        </w:rPr>
        <w:t xml:space="preserve"> genera </w:t>
      </w:r>
      <w:r w:rsidR="00C23D80" w:rsidRPr="00A534BF">
        <w:rPr>
          <w:rFonts w:ascii="Times New Roman" w:hAnsi="Times New Roman" w:cs="Times New Roman"/>
          <w:sz w:val="24"/>
          <w:szCs w:val="24"/>
          <w:lang w:val="es-AR"/>
        </w:rPr>
        <w:t xml:space="preserve">un número significativo de muertes anuales y </w:t>
      </w:r>
      <w:r w:rsidRPr="00A534BF">
        <w:rPr>
          <w:rFonts w:ascii="Times New Roman" w:hAnsi="Times New Roman" w:cs="Times New Roman"/>
          <w:sz w:val="24"/>
          <w:szCs w:val="24"/>
          <w:lang w:val="es-AR"/>
        </w:rPr>
        <w:t>de vida saludables perdidos y un enorme costo que representa alrededor del 15% del gasto en salud</w:t>
      </w:r>
      <w:r w:rsidR="006F1486"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junto a enormes pérdidas de productividad</w:t>
      </w:r>
      <w:r w:rsidR="000517C0" w:rsidRPr="00A534BF">
        <w:rPr>
          <w:rStyle w:val="Refdenotaalpie"/>
          <w:rFonts w:ascii="Times New Roman" w:hAnsi="Times New Roman" w:cs="Times New Roman"/>
          <w:sz w:val="24"/>
          <w:szCs w:val="24"/>
          <w:lang w:val="es-AR"/>
        </w:rPr>
        <w:footnoteReference w:id="4"/>
      </w:r>
      <w:r w:rsidRPr="00A534BF">
        <w:rPr>
          <w:rFonts w:ascii="Times New Roman" w:hAnsi="Times New Roman" w:cs="Times New Roman"/>
          <w:sz w:val="24"/>
          <w:szCs w:val="24"/>
          <w:lang w:val="es-AR"/>
        </w:rPr>
        <w:t>.</w:t>
      </w:r>
      <w:r w:rsidR="00C23D80" w:rsidRPr="00A534BF">
        <w:rPr>
          <w:rFonts w:ascii="Times New Roman" w:hAnsi="Times New Roman" w:cs="Times New Roman"/>
          <w:sz w:val="24"/>
          <w:szCs w:val="24"/>
          <w:lang w:val="es-AR"/>
        </w:rPr>
        <w:t xml:space="preserve"> </w:t>
      </w:r>
    </w:p>
    <w:p w14:paraId="2AD15AED" w14:textId="3C17E1F1" w:rsidR="005D0ACD" w:rsidRPr="00A534BF" w:rsidRDefault="005D0ACD"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Asimismo, observamos  como tendencia global un incremento del sedentarismo, la obesidad y la diabetes</w:t>
      </w:r>
      <w:r w:rsidR="003E2435"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afectando a la población de mayor de 17 años que presenta exceso de peso y asumiéndose como problemática </w:t>
      </w:r>
      <w:r w:rsidR="00CD349E" w:rsidRPr="00A534BF">
        <w:rPr>
          <w:rFonts w:ascii="Times New Roman" w:hAnsi="Times New Roman" w:cs="Times New Roman"/>
          <w:sz w:val="24"/>
          <w:szCs w:val="24"/>
          <w:lang w:val="es-AR"/>
        </w:rPr>
        <w:t xml:space="preserve">incluso </w:t>
      </w:r>
      <w:r w:rsidRPr="00A534BF">
        <w:rPr>
          <w:rFonts w:ascii="Times New Roman" w:hAnsi="Times New Roman" w:cs="Times New Roman"/>
          <w:sz w:val="24"/>
          <w:szCs w:val="24"/>
          <w:lang w:val="es-AR"/>
        </w:rPr>
        <w:t xml:space="preserve">en la población infantil. </w:t>
      </w:r>
    </w:p>
    <w:p w14:paraId="3C9A005A" w14:textId="41467DC8" w:rsidR="00C77711" w:rsidRPr="00A534BF" w:rsidRDefault="005D0ACD"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 xml:space="preserve">El control de las ECNT </w:t>
      </w:r>
      <w:r w:rsidR="006F1486" w:rsidRPr="00A534BF">
        <w:rPr>
          <w:rFonts w:ascii="Times New Roman" w:hAnsi="Times New Roman" w:cs="Times New Roman"/>
          <w:sz w:val="24"/>
          <w:szCs w:val="24"/>
          <w:lang w:val="es-AR"/>
        </w:rPr>
        <w:t xml:space="preserve">se impone como medida fundamental de salud publica, </w:t>
      </w:r>
      <w:r w:rsidRPr="00A534BF">
        <w:rPr>
          <w:rFonts w:ascii="Times New Roman" w:hAnsi="Times New Roman" w:cs="Times New Roman"/>
          <w:sz w:val="24"/>
          <w:szCs w:val="24"/>
          <w:lang w:val="es-AR"/>
        </w:rPr>
        <w:t xml:space="preserve"> </w:t>
      </w:r>
      <w:r w:rsidR="006F1486" w:rsidRPr="00A534BF">
        <w:rPr>
          <w:rFonts w:ascii="Times New Roman" w:hAnsi="Times New Roman" w:cs="Times New Roman"/>
          <w:sz w:val="24"/>
          <w:szCs w:val="24"/>
          <w:lang w:val="es-AR"/>
        </w:rPr>
        <w:t xml:space="preserve">incluso </w:t>
      </w:r>
      <w:r w:rsidRPr="00A534BF">
        <w:rPr>
          <w:rFonts w:ascii="Times New Roman" w:hAnsi="Times New Roman" w:cs="Times New Roman"/>
          <w:sz w:val="24"/>
          <w:szCs w:val="24"/>
          <w:lang w:val="es-AR"/>
        </w:rPr>
        <w:t>por los crecientes costos que acarrean su tratamento, que muchas veces colapsan a los sistemas de salud pública y su financiamento</w:t>
      </w:r>
      <w:r w:rsidR="003E2435" w:rsidRPr="00A534BF">
        <w:rPr>
          <w:rFonts w:ascii="Times New Roman" w:hAnsi="Times New Roman" w:cs="Times New Roman"/>
          <w:sz w:val="24"/>
          <w:szCs w:val="24"/>
          <w:lang w:val="es-AR"/>
        </w:rPr>
        <w:t>, asi como las familias</w:t>
      </w:r>
      <w:r w:rsidRPr="00A534BF">
        <w:rPr>
          <w:rFonts w:ascii="Times New Roman" w:hAnsi="Times New Roman" w:cs="Times New Roman"/>
          <w:sz w:val="24"/>
          <w:szCs w:val="24"/>
          <w:lang w:val="es-AR"/>
        </w:rPr>
        <w:t xml:space="preserve">. </w:t>
      </w:r>
      <w:r w:rsidR="006F1486" w:rsidRPr="00A534BF">
        <w:rPr>
          <w:rFonts w:ascii="Times New Roman" w:hAnsi="Times New Roman" w:cs="Times New Roman"/>
          <w:sz w:val="24"/>
          <w:szCs w:val="24"/>
          <w:lang w:val="es-AR"/>
        </w:rPr>
        <w:t>L</w:t>
      </w:r>
      <w:r w:rsidRPr="00A534BF">
        <w:rPr>
          <w:rFonts w:ascii="Times New Roman" w:hAnsi="Times New Roman" w:cs="Times New Roman"/>
          <w:sz w:val="24"/>
          <w:szCs w:val="24"/>
          <w:lang w:val="es-AR"/>
        </w:rPr>
        <w:t xml:space="preserve">as </w:t>
      </w:r>
      <w:r w:rsidR="00C77711" w:rsidRPr="00A534BF">
        <w:rPr>
          <w:rFonts w:ascii="Times New Roman" w:hAnsi="Times New Roman" w:cs="Times New Roman"/>
          <w:sz w:val="24"/>
          <w:szCs w:val="24"/>
          <w:lang w:val="es-AR"/>
        </w:rPr>
        <w:t>ECNT profundizan la inequidad social</w:t>
      </w:r>
      <w:r w:rsidR="00CD349E" w:rsidRPr="00A534BF">
        <w:rPr>
          <w:rFonts w:ascii="Times New Roman" w:hAnsi="Times New Roman" w:cs="Times New Roman"/>
          <w:sz w:val="24"/>
          <w:szCs w:val="24"/>
          <w:lang w:val="es-AR"/>
        </w:rPr>
        <w:t>,</w:t>
      </w:r>
      <w:r w:rsidR="00C77711" w:rsidRPr="00A534BF">
        <w:rPr>
          <w:rFonts w:ascii="Times New Roman" w:hAnsi="Times New Roman" w:cs="Times New Roman"/>
          <w:sz w:val="24"/>
          <w:szCs w:val="24"/>
          <w:lang w:val="es-AR"/>
        </w:rPr>
        <w:t xml:space="preserve"> dado que afectan en mayor medida a las personas más pobres y de más bajo nivel educativo, a los integrantes de algunos grupos étnicos y a las mujeres</w:t>
      </w:r>
      <w:r w:rsidR="00FF6F00" w:rsidRPr="00A534BF">
        <w:rPr>
          <w:rStyle w:val="Refdenotaalpie"/>
          <w:rFonts w:ascii="Times New Roman" w:hAnsi="Times New Roman" w:cs="Times New Roman"/>
          <w:sz w:val="24"/>
          <w:szCs w:val="24"/>
          <w:lang w:val="es-AR"/>
        </w:rPr>
        <w:footnoteReference w:id="5"/>
      </w:r>
      <w:r w:rsidR="00C77711" w:rsidRPr="00A534BF">
        <w:rPr>
          <w:rFonts w:ascii="Times New Roman" w:hAnsi="Times New Roman" w:cs="Times New Roman"/>
          <w:sz w:val="24"/>
          <w:szCs w:val="24"/>
          <w:lang w:val="es-AR"/>
        </w:rPr>
        <w:t>,</w:t>
      </w:r>
      <w:r w:rsidR="00CD349E" w:rsidRPr="00A534BF">
        <w:rPr>
          <w:rFonts w:ascii="Times New Roman" w:hAnsi="Times New Roman" w:cs="Times New Roman"/>
          <w:sz w:val="24"/>
          <w:szCs w:val="24"/>
          <w:lang w:val="es-AR"/>
        </w:rPr>
        <w:t xml:space="preserve"> </w:t>
      </w:r>
      <w:r w:rsidR="00C77711" w:rsidRPr="00A534BF">
        <w:rPr>
          <w:rFonts w:ascii="Times New Roman" w:hAnsi="Times New Roman" w:cs="Times New Roman"/>
          <w:sz w:val="24"/>
          <w:szCs w:val="24"/>
          <w:lang w:val="es-AR"/>
        </w:rPr>
        <w:t>por lo que constituyen un obstáculo para el desarrollo humano, contrarrestan</w:t>
      </w:r>
      <w:r w:rsidR="006F1486" w:rsidRPr="00A534BF">
        <w:rPr>
          <w:rFonts w:ascii="Times New Roman" w:hAnsi="Times New Roman" w:cs="Times New Roman"/>
          <w:sz w:val="24"/>
          <w:szCs w:val="24"/>
          <w:lang w:val="es-AR"/>
        </w:rPr>
        <w:t>do</w:t>
      </w:r>
      <w:r w:rsidR="00C77711" w:rsidRPr="00A534BF">
        <w:rPr>
          <w:rFonts w:ascii="Times New Roman" w:hAnsi="Times New Roman" w:cs="Times New Roman"/>
          <w:sz w:val="24"/>
          <w:szCs w:val="24"/>
          <w:lang w:val="es-AR"/>
        </w:rPr>
        <w:t xml:space="preserve"> los esfuerzos de la lucha contra la pobreza y las desigualdades.</w:t>
      </w:r>
    </w:p>
    <w:p w14:paraId="7B0C56C1" w14:textId="77777777" w:rsidR="00C77711" w:rsidRPr="00A534BF" w:rsidRDefault="00310D6A"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L</w:t>
      </w:r>
      <w:r w:rsidR="00C77711" w:rsidRPr="00A534BF">
        <w:rPr>
          <w:rFonts w:ascii="Times New Roman" w:hAnsi="Times New Roman" w:cs="Times New Roman"/>
          <w:sz w:val="24"/>
          <w:szCs w:val="24"/>
          <w:lang w:val="es-AR"/>
        </w:rPr>
        <w:t>as políticas necesarias para la reducción y el control de las ECNT requieren el esfuerzo y la contribución de todos los sectores de la sociedad</w:t>
      </w:r>
      <w:r w:rsidR="00CD349E" w:rsidRPr="00A534BF">
        <w:rPr>
          <w:rFonts w:ascii="Times New Roman" w:hAnsi="Times New Roman" w:cs="Times New Roman"/>
          <w:sz w:val="24"/>
          <w:szCs w:val="24"/>
          <w:lang w:val="es-AR"/>
        </w:rPr>
        <w:t>,</w:t>
      </w:r>
      <w:r w:rsidR="00C77711" w:rsidRPr="00A534BF">
        <w:rPr>
          <w:rFonts w:ascii="Times New Roman" w:hAnsi="Times New Roman" w:cs="Times New Roman"/>
          <w:sz w:val="24"/>
          <w:szCs w:val="24"/>
          <w:lang w:val="es-AR"/>
        </w:rPr>
        <w:t xml:space="preserve"> incluyendo a los gobiernos, a la sociedad civil, al sector privado, medios de comunicación, profesionales de la salud y del sector educació</w:t>
      </w:r>
      <w:r w:rsidRPr="00A534BF">
        <w:rPr>
          <w:rFonts w:ascii="Times New Roman" w:hAnsi="Times New Roman" w:cs="Times New Roman"/>
          <w:sz w:val="24"/>
          <w:szCs w:val="24"/>
          <w:lang w:val="es-AR"/>
        </w:rPr>
        <w:t>n, entre otros actores sociales, y traspasan la capacidad de los gobiernos como un desafio de salud global.</w:t>
      </w:r>
    </w:p>
    <w:p w14:paraId="2369370E" w14:textId="1614E884" w:rsidR="00310D6A" w:rsidRPr="00A534BF" w:rsidRDefault="00310D6A"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 xml:space="preserve">Por lo anteriormente expuesto, los países miembros del CARICOM </w:t>
      </w:r>
      <w:r w:rsidR="00A057F5" w:rsidRPr="00A534BF">
        <w:rPr>
          <w:rFonts w:ascii="Times New Roman" w:hAnsi="Times New Roman" w:cs="Times New Roman"/>
          <w:sz w:val="24"/>
          <w:szCs w:val="24"/>
          <w:lang w:val="es-AR"/>
        </w:rPr>
        <w:t xml:space="preserve">llevaran </w:t>
      </w:r>
      <w:r w:rsidRPr="00A534BF">
        <w:rPr>
          <w:rFonts w:ascii="Times New Roman" w:hAnsi="Times New Roman" w:cs="Times New Roman"/>
          <w:sz w:val="24"/>
          <w:szCs w:val="24"/>
          <w:lang w:val="es-AR"/>
        </w:rPr>
        <w:t xml:space="preserve">esta problemática  </w:t>
      </w:r>
      <w:r w:rsidR="00A057F5" w:rsidRPr="00A534BF">
        <w:rPr>
          <w:rFonts w:ascii="Times New Roman" w:hAnsi="Times New Roman" w:cs="Times New Roman"/>
          <w:sz w:val="24"/>
          <w:szCs w:val="24"/>
          <w:lang w:val="es-AR"/>
        </w:rPr>
        <w:t xml:space="preserve">a </w:t>
      </w:r>
      <w:r w:rsidRPr="00A534BF">
        <w:rPr>
          <w:rFonts w:ascii="Times New Roman" w:hAnsi="Times New Roman" w:cs="Times New Roman"/>
          <w:sz w:val="24"/>
          <w:szCs w:val="24"/>
          <w:lang w:val="es-AR"/>
        </w:rPr>
        <w:t>las Naciones Unidas, quienes en el año 2011 organizaron la Reunión de Alto Nivel sobre  Enfermedades No Transmisibles em su sede de Nueva York</w:t>
      </w:r>
      <w:r w:rsidR="000517C0" w:rsidRPr="00A534BF">
        <w:rPr>
          <w:rStyle w:val="Refdenotaalpie"/>
          <w:rFonts w:ascii="Times New Roman" w:hAnsi="Times New Roman" w:cs="Times New Roman"/>
          <w:sz w:val="24"/>
          <w:szCs w:val="24"/>
          <w:lang w:val="es-AR"/>
        </w:rPr>
        <w:footnoteReference w:id="6"/>
      </w:r>
      <w:r w:rsidRPr="00A534BF">
        <w:rPr>
          <w:rFonts w:ascii="Times New Roman" w:hAnsi="Times New Roman" w:cs="Times New Roman"/>
          <w:sz w:val="24"/>
          <w:szCs w:val="24"/>
          <w:lang w:val="es-AR"/>
        </w:rPr>
        <w:t>.</w:t>
      </w:r>
      <w:r w:rsidR="006F1486" w:rsidRPr="00A534BF">
        <w:rPr>
          <w:rFonts w:ascii="Times New Roman" w:hAnsi="Times New Roman" w:cs="Times New Roman"/>
          <w:sz w:val="24"/>
          <w:szCs w:val="24"/>
          <w:lang w:val="es-AR"/>
        </w:rPr>
        <w:t xml:space="preserve"> </w:t>
      </w:r>
      <w:r w:rsidRPr="00A534BF">
        <w:rPr>
          <w:rFonts w:ascii="Times New Roman" w:hAnsi="Times New Roman" w:cs="Times New Roman"/>
          <w:sz w:val="24"/>
          <w:szCs w:val="24"/>
          <w:lang w:val="es-AR"/>
        </w:rPr>
        <w:t xml:space="preserve">A partir </w:t>
      </w:r>
      <w:r w:rsidRPr="00A534BF">
        <w:rPr>
          <w:rFonts w:ascii="Times New Roman" w:hAnsi="Times New Roman" w:cs="Times New Roman"/>
          <w:sz w:val="24"/>
          <w:szCs w:val="24"/>
          <w:lang w:val="es-AR"/>
        </w:rPr>
        <w:lastRenderedPageBreak/>
        <w:t>de este primer compromiso a nivel global, las agencias especializadas de las Naciones Unidas</w:t>
      </w:r>
      <w:r w:rsidR="006F1486"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como la OMS a nivel global y la OPS a nivel regional</w:t>
      </w:r>
      <w:r w:rsidR="006F1486" w:rsidRPr="00A534BF">
        <w:rPr>
          <w:rFonts w:ascii="Times New Roman" w:hAnsi="Times New Roman" w:cs="Times New Roman"/>
          <w:sz w:val="24"/>
          <w:szCs w:val="24"/>
          <w:lang w:val="es-AR"/>
        </w:rPr>
        <w:t xml:space="preserve">, tomaran </w:t>
      </w:r>
      <w:r w:rsidR="003E2435" w:rsidRPr="00A534BF">
        <w:rPr>
          <w:rFonts w:ascii="Times New Roman" w:hAnsi="Times New Roman" w:cs="Times New Roman"/>
          <w:sz w:val="24"/>
          <w:szCs w:val="24"/>
          <w:lang w:val="es-AR"/>
        </w:rPr>
        <w:t xml:space="preserve">el </w:t>
      </w:r>
      <w:r w:rsidR="006F1486" w:rsidRPr="00A534BF">
        <w:rPr>
          <w:rFonts w:ascii="Times New Roman" w:hAnsi="Times New Roman" w:cs="Times New Roman"/>
          <w:sz w:val="24"/>
          <w:szCs w:val="24"/>
          <w:lang w:val="es-AR"/>
        </w:rPr>
        <w:t>tema entre sus prioridades</w:t>
      </w:r>
      <w:r w:rsidR="00BA0DC7" w:rsidRPr="00A534BF">
        <w:rPr>
          <w:rFonts w:ascii="Times New Roman" w:hAnsi="Times New Roman" w:cs="Times New Roman"/>
          <w:sz w:val="24"/>
          <w:szCs w:val="24"/>
          <w:vertAlign w:val="superscript"/>
          <w:lang w:val="es-AR"/>
        </w:rPr>
        <w:footnoteReference w:id="7"/>
      </w:r>
      <w:r w:rsidR="00BA0DC7"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w:t>
      </w:r>
    </w:p>
    <w:p w14:paraId="1671E131" w14:textId="5B92CD3A" w:rsidR="00BA0DC7" w:rsidRPr="00A534BF" w:rsidRDefault="00BA0DC7"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 xml:space="preserve">En </w:t>
      </w:r>
      <w:r w:rsidR="000076C3" w:rsidRPr="00A534BF">
        <w:rPr>
          <w:rFonts w:ascii="Times New Roman" w:hAnsi="Times New Roman" w:cs="Times New Roman"/>
          <w:sz w:val="24"/>
          <w:szCs w:val="24"/>
          <w:lang w:val="es-AR"/>
        </w:rPr>
        <w:t xml:space="preserve">septiembre de </w:t>
      </w:r>
      <w:r w:rsidRPr="00A534BF">
        <w:rPr>
          <w:rFonts w:ascii="Times New Roman" w:hAnsi="Times New Roman" w:cs="Times New Roman"/>
          <w:sz w:val="24"/>
          <w:szCs w:val="24"/>
          <w:lang w:val="es-AR"/>
        </w:rPr>
        <w:t xml:space="preserve">2015, </w:t>
      </w:r>
      <w:r w:rsidR="000076C3" w:rsidRPr="00A534BF">
        <w:rPr>
          <w:rFonts w:ascii="Times New Roman" w:hAnsi="Times New Roman" w:cs="Times New Roman"/>
          <w:sz w:val="24"/>
          <w:szCs w:val="24"/>
          <w:lang w:val="es-AR"/>
        </w:rPr>
        <w:t xml:space="preserve">durante </w:t>
      </w:r>
      <w:r w:rsidRPr="00A534BF">
        <w:rPr>
          <w:rFonts w:ascii="Times New Roman" w:hAnsi="Times New Roman" w:cs="Times New Roman"/>
          <w:sz w:val="24"/>
          <w:szCs w:val="24"/>
          <w:lang w:val="es-AR"/>
        </w:rPr>
        <w:t>la 70 Asamblea General de las Naciones Unidas (UNGA)</w:t>
      </w:r>
      <w:r w:rsidR="00A057F5"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los </w:t>
      </w:r>
      <w:r w:rsidR="00A057F5" w:rsidRPr="00A534BF">
        <w:rPr>
          <w:rFonts w:ascii="Times New Roman" w:hAnsi="Times New Roman" w:cs="Times New Roman"/>
          <w:sz w:val="24"/>
          <w:szCs w:val="24"/>
          <w:lang w:val="es-AR"/>
        </w:rPr>
        <w:t>P</w:t>
      </w:r>
      <w:r w:rsidRPr="00A534BF">
        <w:rPr>
          <w:rFonts w:ascii="Times New Roman" w:hAnsi="Times New Roman" w:cs="Times New Roman"/>
          <w:sz w:val="24"/>
          <w:szCs w:val="24"/>
          <w:lang w:val="es-AR"/>
        </w:rPr>
        <w:t>residentes y Jefes de Estado y Gobierno suscribieron</w:t>
      </w:r>
      <w:r w:rsidR="00A057F5" w:rsidRPr="00A534BF">
        <w:rPr>
          <w:rFonts w:ascii="Times New Roman" w:hAnsi="Times New Roman" w:cs="Times New Roman"/>
          <w:sz w:val="24"/>
          <w:szCs w:val="24"/>
          <w:lang w:val="es-AR"/>
        </w:rPr>
        <w:t xml:space="preserve"> la Agenda 2030 para el Desarrollo Sostenible de las Naciones Unidas,</w:t>
      </w:r>
      <w:r w:rsidRPr="00A534BF">
        <w:rPr>
          <w:rFonts w:ascii="Times New Roman" w:hAnsi="Times New Roman" w:cs="Times New Roman"/>
          <w:sz w:val="24"/>
          <w:szCs w:val="24"/>
          <w:lang w:val="es-AR"/>
        </w:rPr>
        <w:t xml:space="preserve"> un documento político global para el desarrollo sostenible hasta el año 2030, con 17 Objetivos</w:t>
      </w:r>
      <w:r w:rsidR="00A057F5" w:rsidRPr="00A534BF">
        <w:rPr>
          <w:rFonts w:ascii="Times New Roman" w:hAnsi="Times New Roman" w:cs="Times New Roman"/>
          <w:sz w:val="24"/>
          <w:szCs w:val="24"/>
          <w:lang w:val="es-AR"/>
        </w:rPr>
        <w:t xml:space="preserve"> de Desarrollo Sostenible (ODS)</w:t>
      </w:r>
      <w:r w:rsidR="000076C3"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w:t>
      </w:r>
      <w:r w:rsidR="00A057F5" w:rsidRPr="00A534BF">
        <w:rPr>
          <w:rFonts w:ascii="Times New Roman" w:hAnsi="Times New Roman" w:cs="Times New Roman"/>
          <w:sz w:val="24"/>
          <w:szCs w:val="24"/>
          <w:lang w:val="es-AR"/>
        </w:rPr>
        <w:t xml:space="preserve"> Este documento resultó de </w:t>
      </w:r>
      <w:r w:rsidRPr="00A534BF">
        <w:rPr>
          <w:rFonts w:ascii="Times New Roman" w:hAnsi="Times New Roman" w:cs="Times New Roman"/>
          <w:sz w:val="24"/>
          <w:szCs w:val="24"/>
          <w:lang w:val="es-AR"/>
        </w:rPr>
        <w:t xml:space="preserve">uno de los principales y más inclusivos procesos políticos globales, constituyendo una referencia que </w:t>
      </w:r>
      <w:r w:rsidR="00A057F5" w:rsidRPr="00A534BF">
        <w:rPr>
          <w:rFonts w:ascii="Times New Roman" w:hAnsi="Times New Roman" w:cs="Times New Roman"/>
          <w:sz w:val="24"/>
          <w:szCs w:val="24"/>
          <w:lang w:val="es-AR"/>
        </w:rPr>
        <w:t xml:space="preserve">seguramente </w:t>
      </w:r>
      <w:r w:rsidRPr="00A534BF">
        <w:rPr>
          <w:rFonts w:ascii="Times New Roman" w:hAnsi="Times New Roman" w:cs="Times New Roman"/>
          <w:sz w:val="24"/>
          <w:szCs w:val="24"/>
          <w:lang w:val="es-AR"/>
        </w:rPr>
        <w:t xml:space="preserve">va a influenciar a los Estados Nacionales, las organizaciones no gubernamentales, el sector privado y el mundo académico, en los próximos 15 años, impactando en la situación política, económica, social, como así también en los sistemas nacionales de bienestar y protección social de todo el mundo. </w:t>
      </w:r>
    </w:p>
    <w:p w14:paraId="7C01038A" w14:textId="60542538" w:rsidR="00E63D37" w:rsidRPr="00A534BF" w:rsidRDefault="00825B24"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La importancia de</w:t>
      </w:r>
      <w:r w:rsidR="000076C3" w:rsidRPr="00A534BF">
        <w:rPr>
          <w:rFonts w:ascii="Times New Roman" w:hAnsi="Times New Roman" w:cs="Times New Roman"/>
          <w:sz w:val="24"/>
          <w:szCs w:val="24"/>
          <w:lang w:val="es-AR"/>
        </w:rPr>
        <w:t xml:space="preserve"> las ECNT</w:t>
      </w:r>
      <w:r w:rsidRPr="00A534BF">
        <w:rPr>
          <w:rFonts w:ascii="Times New Roman" w:hAnsi="Times New Roman" w:cs="Times New Roman"/>
          <w:sz w:val="24"/>
          <w:szCs w:val="24"/>
          <w:lang w:val="es-AR"/>
        </w:rPr>
        <w:t xml:space="preserve"> sobre la carga de enfermedad a nivel global las llevo a ser incorporadas como una de las metas del O</w:t>
      </w:r>
      <w:r w:rsidR="000076C3" w:rsidRPr="00A534BF">
        <w:rPr>
          <w:rFonts w:ascii="Times New Roman" w:hAnsi="Times New Roman" w:cs="Times New Roman"/>
          <w:sz w:val="24"/>
          <w:szCs w:val="24"/>
          <w:lang w:val="es-AR"/>
        </w:rPr>
        <w:t>DS</w:t>
      </w:r>
      <w:r w:rsidRPr="00A534BF">
        <w:rPr>
          <w:rFonts w:ascii="Times New Roman" w:hAnsi="Times New Roman" w:cs="Times New Roman"/>
          <w:sz w:val="24"/>
          <w:szCs w:val="24"/>
          <w:lang w:val="es-AR"/>
        </w:rPr>
        <w:t xml:space="preserve"> Salud</w:t>
      </w:r>
      <w:r w:rsidR="00E63D37" w:rsidRPr="00A534BF">
        <w:rPr>
          <w:rFonts w:ascii="Times New Roman" w:hAnsi="Times New Roman" w:cs="Times New Roman"/>
          <w:sz w:val="24"/>
          <w:szCs w:val="24"/>
          <w:lang w:val="es-AR"/>
        </w:rPr>
        <w:t xml:space="preserve">: la meta 3.4 </w:t>
      </w:r>
      <w:r w:rsidR="007C4DF2" w:rsidRPr="00A534BF">
        <w:rPr>
          <w:rFonts w:ascii="Times New Roman" w:hAnsi="Times New Roman" w:cs="Times New Roman"/>
          <w:sz w:val="24"/>
          <w:szCs w:val="24"/>
          <w:lang w:val="es-AR"/>
        </w:rPr>
        <w:t xml:space="preserve"> propone la </w:t>
      </w:r>
      <w:r w:rsidR="00E63D37" w:rsidRPr="00A534BF">
        <w:rPr>
          <w:rFonts w:ascii="Times New Roman" w:hAnsi="Times New Roman" w:cs="Times New Roman"/>
          <w:sz w:val="24"/>
          <w:szCs w:val="24"/>
          <w:lang w:val="es-AR"/>
        </w:rPr>
        <w:t>reduc</w:t>
      </w:r>
      <w:r w:rsidR="007C4DF2" w:rsidRPr="00A534BF">
        <w:rPr>
          <w:rFonts w:ascii="Times New Roman" w:hAnsi="Times New Roman" w:cs="Times New Roman"/>
          <w:sz w:val="24"/>
          <w:szCs w:val="24"/>
          <w:lang w:val="es-AR"/>
        </w:rPr>
        <w:t>ión de</w:t>
      </w:r>
      <w:r w:rsidR="00E63D37" w:rsidRPr="00A534BF">
        <w:rPr>
          <w:rFonts w:ascii="Times New Roman" w:hAnsi="Times New Roman" w:cs="Times New Roman"/>
          <w:sz w:val="24"/>
          <w:szCs w:val="24"/>
          <w:lang w:val="es-AR"/>
        </w:rPr>
        <w:t xml:space="preserve"> un tercio la mortalidad prematura por </w:t>
      </w:r>
      <w:r w:rsidR="007C4DF2" w:rsidRPr="00A534BF">
        <w:rPr>
          <w:rFonts w:ascii="Times New Roman" w:hAnsi="Times New Roman" w:cs="Times New Roman"/>
          <w:sz w:val="24"/>
          <w:szCs w:val="24"/>
          <w:lang w:val="es-AR"/>
        </w:rPr>
        <w:t xml:space="preserve">las mismas, </w:t>
      </w:r>
      <w:r w:rsidR="00E63D37" w:rsidRPr="00A534BF">
        <w:rPr>
          <w:rFonts w:ascii="Times New Roman" w:hAnsi="Times New Roman" w:cs="Times New Roman"/>
          <w:sz w:val="24"/>
          <w:szCs w:val="24"/>
          <w:lang w:val="es-AR"/>
        </w:rPr>
        <w:t xml:space="preserve">mediante la prevención y el tratamiento y </w:t>
      </w:r>
      <w:r w:rsidR="007C4DF2" w:rsidRPr="00A534BF">
        <w:rPr>
          <w:rFonts w:ascii="Times New Roman" w:hAnsi="Times New Roman" w:cs="Times New Roman"/>
          <w:sz w:val="24"/>
          <w:szCs w:val="24"/>
          <w:lang w:val="es-AR"/>
        </w:rPr>
        <w:t xml:space="preserve">la </w:t>
      </w:r>
      <w:r w:rsidR="00E63D37" w:rsidRPr="00A534BF">
        <w:rPr>
          <w:rFonts w:ascii="Times New Roman" w:hAnsi="Times New Roman" w:cs="Times New Roman"/>
          <w:sz w:val="24"/>
          <w:szCs w:val="24"/>
          <w:lang w:val="es-AR"/>
        </w:rPr>
        <w:t>promo</w:t>
      </w:r>
      <w:r w:rsidR="007C4DF2" w:rsidRPr="00A534BF">
        <w:rPr>
          <w:rFonts w:ascii="Times New Roman" w:hAnsi="Times New Roman" w:cs="Times New Roman"/>
          <w:sz w:val="24"/>
          <w:szCs w:val="24"/>
          <w:lang w:val="es-AR"/>
        </w:rPr>
        <w:t xml:space="preserve">ción </w:t>
      </w:r>
      <w:r w:rsidR="00E63D37" w:rsidRPr="00A534BF">
        <w:rPr>
          <w:rFonts w:ascii="Times New Roman" w:hAnsi="Times New Roman" w:cs="Times New Roman"/>
          <w:sz w:val="24"/>
          <w:szCs w:val="24"/>
          <w:lang w:val="es-AR"/>
        </w:rPr>
        <w:t xml:space="preserve"> </w:t>
      </w:r>
      <w:r w:rsidR="007C4DF2" w:rsidRPr="00A534BF">
        <w:rPr>
          <w:rFonts w:ascii="Times New Roman" w:hAnsi="Times New Roman" w:cs="Times New Roman"/>
          <w:sz w:val="24"/>
          <w:szCs w:val="24"/>
          <w:lang w:val="es-AR"/>
        </w:rPr>
        <w:t xml:space="preserve">de </w:t>
      </w:r>
      <w:r w:rsidR="00E63D37" w:rsidRPr="00A534BF">
        <w:rPr>
          <w:rFonts w:ascii="Times New Roman" w:hAnsi="Times New Roman" w:cs="Times New Roman"/>
          <w:sz w:val="24"/>
          <w:szCs w:val="24"/>
          <w:lang w:val="es-AR"/>
        </w:rPr>
        <w:t xml:space="preserve">la salud mental y </w:t>
      </w:r>
      <w:r w:rsidR="007C4DF2" w:rsidRPr="00A534BF">
        <w:rPr>
          <w:rFonts w:ascii="Times New Roman" w:hAnsi="Times New Roman" w:cs="Times New Roman"/>
          <w:sz w:val="24"/>
          <w:szCs w:val="24"/>
          <w:lang w:val="es-AR"/>
        </w:rPr>
        <w:t>d</w:t>
      </w:r>
      <w:r w:rsidR="00E63D37" w:rsidRPr="00A534BF">
        <w:rPr>
          <w:rFonts w:ascii="Times New Roman" w:hAnsi="Times New Roman" w:cs="Times New Roman"/>
          <w:sz w:val="24"/>
          <w:szCs w:val="24"/>
          <w:lang w:val="es-AR"/>
        </w:rPr>
        <w:t>el bienestar.</w:t>
      </w:r>
    </w:p>
    <w:p w14:paraId="4DF1C6C2" w14:textId="76FC7D40" w:rsidR="0062708E" w:rsidRPr="00A534BF" w:rsidRDefault="0062708E"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La alarmante situación a nivel mundial pone en peligro el alcance del ODS 3 y en particular de la meta 3.4 pero</w:t>
      </w:r>
      <w:r w:rsidR="003E2435"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a su vez, esta meta esta relacionada con el ODS de Pobreza, en </w:t>
      </w:r>
      <w:r w:rsidR="003E2435" w:rsidRPr="00A534BF">
        <w:rPr>
          <w:rFonts w:ascii="Times New Roman" w:hAnsi="Times New Roman" w:cs="Times New Roman"/>
          <w:sz w:val="24"/>
          <w:szCs w:val="24"/>
          <w:lang w:val="es-AR"/>
        </w:rPr>
        <w:t xml:space="preserve">razón </w:t>
      </w:r>
      <w:r w:rsidRPr="00A534BF">
        <w:rPr>
          <w:rFonts w:ascii="Times New Roman" w:hAnsi="Times New Roman" w:cs="Times New Roman"/>
          <w:sz w:val="24"/>
          <w:szCs w:val="24"/>
          <w:lang w:val="es-AR"/>
        </w:rPr>
        <w:t xml:space="preserve">que las ECNT generan gastos familiares por la atención </w:t>
      </w:r>
      <w:r w:rsidR="007C4DF2" w:rsidRPr="00A534BF">
        <w:rPr>
          <w:rFonts w:ascii="Times New Roman" w:hAnsi="Times New Roman" w:cs="Times New Roman"/>
          <w:sz w:val="24"/>
          <w:szCs w:val="24"/>
          <w:lang w:val="es-AR"/>
        </w:rPr>
        <w:t xml:space="preserve"> medica</w:t>
      </w:r>
      <w:r w:rsidR="003E2435" w:rsidRPr="00A534BF">
        <w:rPr>
          <w:rFonts w:ascii="Times New Roman" w:hAnsi="Times New Roman" w:cs="Times New Roman"/>
          <w:sz w:val="24"/>
          <w:szCs w:val="24"/>
          <w:lang w:val="es-AR"/>
        </w:rPr>
        <w:t xml:space="preserve"> muchas vezes allá de las posibilidades de la familia</w:t>
      </w:r>
      <w:r w:rsidRPr="00A534BF">
        <w:rPr>
          <w:rFonts w:ascii="Times New Roman" w:hAnsi="Times New Roman" w:cs="Times New Roman"/>
          <w:sz w:val="24"/>
          <w:szCs w:val="24"/>
          <w:lang w:val="es-AR"/>
        </w:rPr>
        <w:t>. Los grupos mas vulnerables y des</w:t>
      </w:r>
      <w:r w:rsidR="007C4DF2" w:rsidRPr="00A534BF">
        <w:rPr>
          <w:rFonts w:ascii="Times New Roman" w:hAnsi="Times New Roman" w:cs="Times New Roman"/>
          <w:sz w:val="24"/>
          <w:szCs w:val="24"/>
          <w:lang w:val="es-AR"/>
        </w:rPr>
        <w:t>f</w:t>
      </w:r>
      <w:r w:rsidRPr="00A534BF">
        <w:rPr>
          <w:rFonts w:ascii="Times New Roman" w:hAnsi="Times New Roman" w:cs="Times New Roman"/>
          <w:sz w:val="24"/>
          <w:szCs w:val="24"/>
          <w:lang w:val="es-AR"/>
        </w:rPr>
        <w:t>avorecidos enferman mas y mueren</w:t>
      </w:r>
      <w:r w:rsidR="00DB0FE0" w:rsidRPr="00A534BF">
        <w:rPr>
          <w:rFonts w:ascii="Times New Roman" w:hAnsi="Times New Roman" w:cs="Times New Roman"/>
          <w:sz w:val="24"/>
          <w:szCs w:val="24"/>
          <w:lang w:val="es-AR"/>
        </w:rPr>
        <w:t xml:space="preserve"> más precocemente</w:t>
      </w:r>
      <w:r w:rsidRPr="00A534BF">
        <w:rPr>
          <w:rFonts w:ascii="Times New Roman" w:hAnsi="Times New Roman" w:cs="Times New Roman"/>
          <w:sz w:val="24"/>
          <w:szCs w:val="24"/>
          <w:lang w:val="es-AR"/>
        </w:rPr>
        <w:t xml:space="preserve"> </w:t>
      </w:r>
      <w:r w:rsidR="00C23D80" w:rsidRPr="00A534BF">
        <w:rPr>
          <w:rFonts w:ascii="Times New Roman" w:hAnsi="Times New Roman" w:cs="Times New Roman"/>
          <w:sz w:val="24"/>
          <w:szCs w:val="24"/>
          <w:lang w:val="es-AR"/>
        </w:rPr>
        <w:t xml:space="preserve">por su posición social y la exposición a factores de riesgo </w:t>
      </w:r>
      <w:r w:rsidR="007C4DF2" w:rsidRPr="00A534BF">
        <w:rPr>
          <w:rFonts w:ascii="Times New Roman" w:hAnsi="Times New Roman" w:cs="Times New Roman"/>
          <w:sz w:val="24"/>
          <w:szCs w:val="24"/>
          <w:lang w:val="es-AR"/>
        </w:rPr>
        <w:t>ya mencionados</w:t>
      </w:r>
      <w:r w:rsidR="00DB0FE0" w:rsidRPr="00A534BF">
        <w:rPr>
          <w:rFonts w:ascii="Times New Roman" w:hAnsi="Times New Roman" w:cs="Times New Roman"/>
          <w:sz w:val="24"/>
          <w:szCs w:val="24"/>
          <w:lang w:val="es-AR"/>
        </w:rPr>
        <w:t>,</w:t>
      </w:r>
      <w:r w:rsidR="007C4DF2" w:rsidRPr="00A534BF">
        <w:rPr>
          <w:rFonts w:ascii="Times New Roman" w:hAnsi="Times New Roman" w:cs="Times New Roman"/>
          <w:sz w:val="24"/>
          <w:szCs w:val="24"/>
          <w:lang w:val="es-AR"/>
        </w:rPr>
        <w:t xml:space="preserve"> </w:t>
      </w:r>
      <w:r w:rsidR="00C23D80" w:rsidRPr="00A534BF">
        <w:rPr>
          <w:rFonts w:ascii="Times New Roman" w:hAnsi="Times New Roman" w:cs="Times New Roman"/>
          <w:sz w:val="24"/>
          <w:szCs w:val="24"/>
          <w:lang w:val="es-AR"/>
        </w:rPr>
        <w:t xml:space="preserve"> como </w:t>
      </w:r>
      <w:r w:rsidR="007C4DF2" w:rsidRPr="00A534BF">
        <w:rPr>
          <w:rFonts w:ascii="Times New Roman" w:hAnsi="Times New Roman" w:cs="Times New Roman"/>
          <w:sz w:val="24"/>
          <w:szCs w:val="24"/>
          <w:lang w:val="es-AR"/>
        </w:rPr>
        <w:t xml:space="preserve">también por </w:t>
      </w:r>
      <w:r w:rsidR="00C23D80" w:rsidRPr="00A534BF">
        <w:rPr>
          <w:rFonts w:ascii="Times New Roman" w:hAnsi="Times New Roman" w:cs="Times New Roman"/>
          <w:sz w:val="24"/>
          <w:szCs w:val="24"/>
          <w:lang w:val="es-AR"/>
        </w:rPr>
        <w:t xml:space="preserve">las barreras para su acceso a los servicios de salud. </w:t>
      </w:r>
    </w:p>
    <w:p w14:paraId="1FC29710" w14:textId="695C17B6" w:rsidR="00432646" w:rsidRPr="00A534BF" w:rsidRDefault="00BA0DC7"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 xml:space="preserve">En </w:t>
      </w:r>
      <w:r w:rsidR="00267790" w:rsidRPr="00A534BF">
        <w:rPr>
          <w:rFonts w:ascii="Times New Roman" w:hAnsi="Times New Roman" w:cs="Times New Roman"/>
          <w:sz w:val="24"/>
          <w:szCs w:val="24"/>
          <w:lang w:val="es-AR"/>
        </w:rPr>
        <w:t xml:space="preserve">mayo del 2017, </w:t>
      </w:r>
      <w:r w:rsidR="003E2435" w:rsidRPr="00A534BF">
        <w:rPr>
          <w:rFonts w:ascii="Times New Roman" w:hAnsi="Times New Roman" w:cs="Times New Roman"/>
          <w:sz w:val="24"/>
          <w:szCs w:val="24"/>
          <w:lang w:val="es-AR"/>
        </w:rPr>
        <w:t xml:space="preserve"> </w:t>
      </w:r>
      <w:r w:rsidR="002A065A" w:rsidRPr="00A534BF">
        <w:rPr>
          <w:rFonts w:ascii="Times New Roman" w:hAnsi="Times New Roman" w:cs="Times New Roman"/>
          <w:sz w:val="24"/>
          <w:szCs w:val="24"/>
          <w:lang w:val="es-AR"/>
        </w:rPr>
        <w:t xml:space="preserve">la OMS llamaba la atención sobre </w:t>
      </w:r>
      <w:r w:rsidR="00267790" w:rsidRPr="00A534BF">
        <w:rPr>
          <w:rFonts w:ascii="Times New Roman" w:hAnsi="Times New Roman" w:cs="Times New Roman"/>
          <w:sz w:val="24"/>
          <w:szCs w:val="24"/>
          <w:lang w:val="es-AR"/>
        </w:rPr>
        <w:t>la falta de progresos mundiales para la lucha contra las ECNT atentaría contra el cumplimiento de la meta 3.4.</w:t>
      </w:r>
      <w:r w:rsidR="00303AC9" w:rsidRPr="00A534BF">
        <w:rPr>
          <w:rFonts w:ascii="Times New Roman" w:hAnsi="Times New Roman" w:cs="Times New Roman"/>
          <w:sz w:val="24"/>
          <w:szCs w:val="24"/>
          <w:lang w:val="es-AR"/>
        </w:rPr>
        <w:t xml:space="preserve">, lo que llevó </w:t>
      </w:r>
      <w:r w:rsidR="003E2435" w:rsidRPr="00A534BF">
        <w:rPr>
          <w:rFonts w:ascii="Times New Roman" w:hAnsi="Times New Roman" w:cs="Times New Roman"/>
          <w:sz w:val="24"/>
          <w:szCs w:val="24"/>
          <w:lang w:val="es-AR"/>
        </w:rPr>
        <w:t xml:space="preserve">a la Organización </w:t>
      </w:r>
      <w:r w:rsidR="00303AC9" w:rsidRPr="00A534BF">
        <w:rPr>
          <w:rFonts w:ascii="Times New Roman" w:hAnsi="Times New Roman" w:cs="Times New Roman"/>
          <w:sz w:val="24"/>
          <w:szCs w:val="24"/>
          <w:lang w:val="es-AR"/>
        </w:rPr>
        <w:t>a crear</w:t>
      </w:r>
      <w:r w:rsidR="00267790" w:rsidRPr="00A534BF">
        <w:rPr>
          <w:rFonts w:ascii="Times New Roman" w:hAnsi="Times New Roman" w:cs="Times New Roman"/>
          <w:sz w:val="24"/>
          <w:szCs w:val="24"/>
          <w:lang w:val="es-AR"/>
        </w:rPr>
        <w:t xml:space="preserve">  una Comisión Independiente de Alto Nivel sobre Enfermedades Crónicas No Transmisibles</w:t>
      </w:r>
      <w:r w:rsidR="00267790" w:rsidRPr="00A534BF">
        <w:rPr>
          <w:rStyle w:val="Refdenotaalpie"/>
          <w:rFonts w:ascii="Times New Roman" w:hAnsi="Times New Roman" w:cs="Times New Roman"/>
          <w:sz w:val="24"/>
          <w:szCs w:val="24"/>
          <w:lang w:val="es-AR"/>
        </w:rPr>
        <w:footnoteReference w:id="8"/>
      </w:r>
      <w:r w:rsidR="00432646" w:rsidRPr="00A534BF">
        <w:rPr>
          <w:rFonts w:ascii="Times New Roman" w:hAnsi="Times New Roman" w:cs="Times New Roman"/>
          <w:sz w:val="24"/>
          <w:szCs w:val="24"/>
          <w:lang w:val="es-AR"/>
        </w:rPr>
        <w:t>.</w:t>
      </w:r>
      <w:r w:rsidR="00303AC9" w:rsidRPr="00A534BF">
        <w:rPr>
          <w:rFonts w:ascii="Times New Roman" w:hAnsi="Times New Roman" w:cs="Times New Roman"/>
          <w:sz w:val="24"/>
          <w:szCs w:val="24"/>
          <w:lang w:val="es-AR"/>
        </w:rPr>
        <w:t xml:space="preserve"> </w:t>
      </w:r>
      <w:r w:rsidR="00432646" w:rsidRPr="00A534BF">
        <w:rPr>
          <w:rFonts w:ascii="Times New Roman" w:hAnsi="Times New Roman" w:cs="Times New Roman"/>
          <w:sz w:val="24"/>
          <w:szCs w:val="24"/>
          <w:lang w:val="es-AR"/>
        </w:rPr>
        <w:t>Recientemente</w:t>
      </w:r>
      <w:r w:rsidR="00303AC9" w:rsidRPr="00A534BF">
        <w:rPr>
          <w:rFonts w:ascii="Times New Roman" w:hAnsi="Times New Roman" w:cs="Times New Roman"/>
          <w:sz w:val="24"/>
          <w:szCs w:val="24"/>
          <w:lang w:val="es-AR"/>
        </w:rPr>
        <w:t>,</w:t>
      </w:r>
      <w:r w:rsidR="00432646" w:rsidRPr="00A534BF">
        <w:rPr>
          <w:rFonts w:ascii="Times New Roman" w:hAnsi="Times New Roman" w:cs="Times New Roman"/>
          <w:sz w:val="24"/>
          <w:szCs w:val="24"/>
          <w:lang w:val="es-AR"/>
        </w:rPr>
        <w:t xml:space="preserve"> la </w:t>
      </w:r>
      <w:r w:rsidR="00303AC9" w:rsidRPr="00A534BF">
        <w:rPr>
          <w:rFonts w:ascii="Times New Roman" w:hAnsi="Times New Roman" w:cs="Times New Roman"/>
          <w:sz w:val="24"/>
          <w:szCs w:val="24"/>
          <w:lang w:val="es-AR"/>
        </w:rPr>
        <w:t xml:space="preserve">referida </w:t>
      </w:r>
      <w:r w:rsidR="00432646" w:rsidRPr="00A534BF">
        <w:rPr>
          <w:rFonts w:ascii="Times New Roman" w:hAnsi="Times New Roman" w:cs="Times New Roman"/>
          <w:sz w:val="24"/>
          <w:szCs w:val="24"/>
          <w:lang w:val="es-AR"/>
        </w:rPr>
        <w:t>Comisión  lanzó su informe “</w:t>
      </w:r>
      <w:r w:rsidR="00432646" w:rsidRPr="00AF652C">
        <w:rPr>
          <w:rFonts w:ascii="Times New Roman" w:hAnsi="Times New Roman" w:cs="Times New Roman"/>
          <w:b/>
          <w:i/>
          <w:sz w:val="24"/>
          <w:szCs w:val="24"/>
          <w:lang w:val="es-AR"/>
        </w:rPr>
        <w:t>Es Hora de Actuar</w:t>
      </w:r>
      <w:r w:rsidR="00432646" w:rsidRPr="00A534BF">
        <w:rPr>
          <w:rFonts w:ascii="Times New Roman" w:hAnsi="Times New Roman" w:cs="Times New Roman"/>
          <w:sz w:val="24"/>
          <w:szCs w:val="24"/>
          <w:lang w:val="es-AR"/>
        </w:rPr>
        <w:t xml:space="preserve">” donde se presentan datos sobre la carga de morbilidad y el impacto de las </w:t>
      </w:r>
      <w:r w:rsidR="001E3CE9" w:rsidRPr="00A534BF">
        <w:rPr>
          <w:rFonts w:ascii="Times New Roman" w:hAnsi="Times New Roman" w:cs="Times New Roman"/>
          <w:sz w:val="24"/>
          <w:szCs w:val="24"/>
          <w:lang w:val="es-AR"/>
        </w:rPr>
        <w:t>ECNT y los Trastornos Mentales a nivel global</w:t>
      </w:r>
      <w:r w:rsidR="001E3CE9" w:rsidRPr="00A534BF">
        <w:rPr>
          <w:rStyle w:val="Refdenotaalpie"/>
          <w:rFonts w:ascii="Times New Roman" w:hAnsi="Times New Roman" w:cs="Times New Roman"/>
          <w:sz w:val="24"/>
          <w:szCs w:val="24"/>
          <w:lang w:val="es-AR"/>
        </w:rPr>
        <w:footnoteReference w:id="9"/>
      </w:r>
      <w:r w:rsidR="001E3CE9" w:rsidRPr="00A534BF">
        <w:rPr>
          <w:rFonts w:ascii="Times New Roman" w:hAnsi="Times New Roman" w:cs="Times New Roman"/>
          <w:sz w:val="24"/>
          <w:szCs w:val="24"/>
          <w:lang w:val="es-AR"/>
        </w:rPr>
        <w:t>.</w:t>
      </w:r>
    </w:p>
    <w:p w14:paraId="072A0DEB" w14:textId="0287D1E8" w:rsidR="00432646" w:rsidRPr="00A534BF" w:rsidRDefault="00432646"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Analicemos</w:t>
      </w:r>
      <w:r w:rsidR="00AF652C">
        <w:rPr>
          <w:rFonts w:ascii="Times New Roman" w:hAnsi="Times New Roman" w:cs="Times New Roman"/>
          <w:sz w:val="24"/>
          <w:szCs w:val="24"/>
          <w:lang w:val="es-AR"/>
        </w:rPr>
        <w:t xml:space="preserve"> </w:t>
      </w:r>
      <w:r w:rsidRPr="00A534BF">
        <w:rPr>
          <w:rFonts w:ascii="Times New Roman" w:hAnsi="Times New Roman" w:cs="Times New Roman"/>
          <w:sz w:val="24"/>
          <w:szCs w:val="24"/>
          <w:lang w:val="es-AR"/>
        </w:rPr>
        <w:t>brevemente</w:t>
      </w:r>
      <w:r w:rsidR="003E2435" w:rsidRPr="00A534BF">
        <w:rPr>
          <w:rFonts w:ascii="Times New Roman" w:hAnsi="Times New Roman" w:cs="Times New Roman"/>
          <w:sz w:val="24"/>
          <w:szCs w:val="24"/>
          <w:lang w:val="es-AR"/>
        </w:rPr>
        <w:t>, a seguir,</w:t>
      </w:r>
      <w:r w:rsidRPr="00A534BF">
        <w:rPr>
          <w:rFonts w:ascii="Times New Roman" w:hAnsi="Times New Roman" w:cs="Times New Roman"/>
          <w:sz w:val="24"/>
          <w:szCs w:val="24"/>
          <w:lang w:val="es-AR"/>
        </w:rPr>
        <w:t xml:space="preserve"> la dinámica poblacional, determinantes y riesgos y condiciones de salud de los Estados parte del </w:t>
      </w:r>
      <w:r w:rsidR="00303AC9" w:rsidRPr="00A534BF">
        <w:rPr>
          <w:rFonts w:ascii="Times New Roman" w:hAnsi="Times New Roman" w:cs="Times New Roman"/>
          <w:sz w:val="24"/>
          <w:szCs w:val="24"/>
          <w:lang w:val="es-AR"/>
        </w:rPr>
        <w:t>Mercosur particularmente cuanto a las ECNT</w:t>
      </w:r>
      <w:r w:rsidRPr="00A534BF">
        <w:rPr>
          <w:rFonts w:ascii="Times New Roman" w:hAnsi="Times New Roman" w:cs="Times New Roman"/>
          <w:sz w:val="24"/>
          <w:szCs w:val="24"/>
          <w:lang w:val="es-AR"/>
        </w:rPr>
        <w:t xml:space="preserve">. </w:t>
      </w:r>
    </w:p>
    <w:p w14:paraId="7364A053" w14:textId="77777777" w:rsidR="00C23D80" w:rsidRPr="00A534BF" w:rsidRDefault="00C23D80" w:rsidP="00F30204">
      <w:pPr>
        <w:jc w:val="both"/>
        <w:rPr>
          <w:rFonts w:ascii="Times New Roman" w:hAnsi="Times New Roman" w:cs="Times New Roman"/>
          <w:sz w:val="24"/>
          <w:szCs w:val="24"/>
          <w:lang w:val="es-AR" w:eastAsia="es-PE"/>
        </w:rPr>
      </w:pPr>
    </w:p>
    <w:p w14:paraId="76677394" w14:textId="77777777" w:rsidR="009C56E7" w:rsidRPr="00A534BF" w:rsidRDefault="009C56E7" w:rsidP="00F30204">
      <w:pPr>
        <w:jc w:val="both"/>
        <w:rPr>
          <w:rFonts w:ascii="Times New Roman" w:hAnsi="Times New Roman" w:cs="Times New Roman"/>
          <w:sz w:val="24"/>
          <w:szCs w:val="24"/>
          <w:lang w:val="es-ES_tradnl" w:eastAsia="es-PE"/>
        </w:rPr>
      </w:pPr>
      <w:r w:rsidRPr="00A534BF">
        <w:rPr>
          <w:rFonts w:ascii="Times New Roman" w:hAnsi="Times New Roman" w:cs="Times New Roman"/>
          <w:sz w:val="24"/>
          <w:szCs w:val="24"/>
          <w:lang w:val="es-ES_tradnl" w:eastAsia="es-PE"/>
        </w:rPr>
        <w:lastRenderedPageBreak/>
        <w:t>Situación de salud y carga de enfermedad</w:t>
      </w:r>
    </w:p>
    <w:p w14:paraId="79C9F677" w14:textId="77777777" w:rsidR="009C56E7" w:rsidRPr="00A534BF" w:rsidRDefault="009C56E7" w:rsidP="003B74A4">
      <w:pPr>
        <w:rPr>
          <w:rFonts w:ascii="Times New Roman" w:hAnsi="Times New Roman" w:cs="Times New Roman"/>
          <w:sz w:val="24"/>
          <w:szCs w:val="24"/>
          <w:lang w:val="es-ES_tradnl" w:eastAsia="es-PE"/>
        </w:rPr>
      </w:pPr>
    </w:p>
    <w:p w14:paraId="54011D41" w14:textId="1E43A544" w:rsidR="009C56E7" w:rsidRPr="00A534BF" w:rsidRDefault="009C56E7" w:rsidP="003B74A4">
      <w:pPr>
        <w:rPr>
          <w:rFonts w:ascii="Times New Roman" w:hAnsi="Times New Roman" w:cs="Times New Roman"/>
          <w:sz w:val="24"/>
          <w:szCs w:val="24"/>
          <w:lang w:val="es-ES_tradnl" w:eastAsia="es-PE"/>
        </w:rPr>
      </w:pPr>
      <w:r w:rsidRPr="00A534BF">
        <w:rPr>
          <w:rFonts w:ascii="Times New Roman" w:hAnsi="Times New Roman" w:cs="Times New Roman"/>
          <w:sz w:val="24"/>
          <w:szCs w:val="24"/>
          <w:lang w:val="es-ES_tradnl" w:eastAsia="es-PE"/>
        </w:rPr>
        <w:t xml:space="preserve">Los estados parte del MERCOSUR, al igual que la región, han experimentado conquistas en las condiciones de vida de la población, que se reflejan en </w:t>
      </w:r>
      <w:r w:rsidR="00303AC9" w:rsidRPr="00A534BF">
        <w:rPr>
          <w:rFonts w:ascii="Times New Roman" w:hAnsi="Times New Roman" w:cs="Times New Roman"/>
          <w:sz w:val="24"/>
          <w:szCs w:val="24"/>
          <w:lang w:val="es-ES_tradnl" w:eastAsia="es-PE"/>
        </w:rPr>
        <w:t xml:space="preserve">la mejora de </w:t>
      </w:r>
      <w:r w:rsidRPr="00A534BF">
        <w:rPr>
          <w:rFonts w:ascii="Times New Roman" w:hAnsi="Times New Roman" w:cs="Times New Roman"/>
          <w:sz w:val="24"/>
          <w:szCs w:val="24"/>
          <w:lang w:val="es-ES_tradnl" w:eastAsia="es-PE"/>
        </w:rPr>
        <w:t>sus estadísticas vitales, como la mortalidad infantil y expectativa de vida al nacer. No obstante, el MERCOSUR continua presentando inmensas desigualdades tanto al interior de los países como entre ellos.</w:t>
      </w:r>
    </w:p>
    <w:p w14:paraId="49CC215A" w14:textId="07ED8549" w:rsidR="009C56E7" w:rsidRPr="00A534BF" w:rsidRDefault="009C56E7" w:rsidP="003B74A4">
      <w:pPr>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 xml:space="preserve">La población de los Estados Parte del MERCOSUR ha avanzado en la llamada </w:t>
      </w:r>
      <w:r w:rsidRPr="00A534BF">
        <w:rPr>
          <w:rFonts w:ascii="Times New Roman" w:hAnsi="Times New Roman" w:cs="Times New Roman"/>
          <w:i/>
          <w:sz w:val="24"/>
          <w:szCs w:val="24"/>
          <w:lang w:val="es-PE" w:eastAsia="es-PE"/>
        </w:rPr>
        <w:t xml:space="preserve">“transición demográfica” </w:t>
      </w:r>
      <w:r w:rsidRPr="00A534BF">
        <w:rPr>
          <w:rFonts w:ascii="Times New Roman" w:hAnsi="Times New Roman" w:cs="Times New Roman"/>
          <w:sz w:val="24"/>
          <w:szCs w:val="24"/>
          <w:lang w:val="es-PE" w:eastAsia="es-PE"/>
        </w:rPr>
        <w:t>en la que se registra en forma sostenida una disminución de la</w:t>
      </w:r>
      <w:r w:rsidR="00303AC9" w:rsidRPr="00A534BF">
        <w:rPr>
          <w:rFonts w:ascii="Times New Roman" w:hAnsi="Times New Roman" w:cs="Times New Roman"/>
          <w:sz w:val="24"/>
          <w:szCs w:val="24"/>
          <w:lang w:val="es-PE" w:eastAsia="es-PE"/>
        </w:rPr>
        <w:t>s</w:t>
      </w:r>
      <w:r w:rsidRPr="00A534BF">
        <w:rPr>
          <w:rFonts w:ascii="Times New Roman" w:hAnsi="Times New Roman" w:cs="Times New Roman"/>
          <w:sz w:val="24"/>
          <w:szCs w:val="24"/>
          <w:lang w:val="es-PE" w:eastAsia="es-PE"/>
        </w:rPr>
        <w:t xml:space="preserve"> tasa</w:t>
      </w:r>
      <w:r w:rsidR="00303AC9" w:rsidRPr="00A534BF">
        <w:rPr>
          <w:rFonts w:ascii="Times New Roman" w:hAnsi="Times New Roman" w:cs="Times New Roman"/>
          <w:sz w:val="24"/>
          <w:szCs w:val="24"/>
          <w:lang w:val="es-PE" w:eastAsia="es-PE"/>
        </w:rPr>
        <w:t>s</w:t>
      </w:r>
      <w:r w:rsidRPr="00A534BF">
        <w:rPr>
          <w:rFonts w:ascii="Times New Roman" w:hAnsi="Times New Roman" w:cs="Times New Roman"/>
          <w:sz w:val="24"/>
          <w:szCs w:val="24"/>
          <w:lang w:val="es-PE" w:eastAsia="es-PE"/>
        </w:rPr>
        <w:t xml:space="preserve"> de natalidad</w:t>
      </w:r>
      <w:r w:rsidR="00303AC9" w:rsidRPr="00A534BF">
        <w:rPr>
          <w:rFonts w:ascii="Times New Roman" w:hAnsi="Times New Roman" w:cs="Times New Roman"/>
          <w:sz w:val="24"/>
          <w:szCs w:val="24"/>
          <w:lang w:val="es-PE" w:eastAsia="es-PE"/>
        </w:rPr>
        <w:t xml:space="preserve"> y fecundidad</w:t>
      </w:r>
      <w:r w:rsidRPr="00A534BF">
        <w:rPr>
          <w:rFonts w:ascii="Times New Roman" w:hAnsi="Times New Roman" w:cs="Times New Roman"/>
          <w:sz w:val="24"/>
          <w:szCs w:val="24"/>
          <w:lang w:val="es-PE" w:eastAsia="es-PE"/>
        </w:rPr>
        <w:t xml:space="preserve"> y cambios acentuados en la estructura etaria de la población, debido a un decreciente número de nacimientos y una población adulta en constante incremento. Mientras que en el quinquenio 1950-1955 la </w:t>
      </w:r>
      <w:r w:rsidR="00303AC9" w:rsidRPr="00A534BF">
        <w:rPr>
          <w:rFonts w:ascii="Times New Roman" w:hAnsi="Times New Roman" w:cs="Times New Roman"/>
          <w:sz w:val="24"/>
          <w:szCs w:val="24"/>
          <w:lang w:val="es-PE" w:eastAsia="es-PE"/>
        </w:rPr>
        <w:t>t</w:t>
      </w:r>
      <w:r w:rsidRPr="00A534BF">
        <w:rPr>
          <w:rFonts w:ascii="Times New Roman" w:hAnsi="Times New Roman" w:cs="Times New Roman"/>
          <w:sz w:val="24"/>
          <w:szCs w:val="24"/>
          <w:lang w:val="es-PE" w:eastAsia="es-PE"/>
        </w:rPr>
        <w:t xml:space="preserve">asa </w:t>
      </w:r>
      <w:r w:rsidR="00303AC9" w:rsidRPr="00A534BF">
        <w:rPr>
          <w:rFonts w:ascii="Times New Roman" w:hAnsi="Times New Roman" w:cs="Times New Roman"/>
          <w:sz w:val="24"/>
          <w:szCs w:val="24"/>
          <w:lang w:val="es-PE" w:eastAsia="es-PE"/>
        </w:rPr>
        <w:t>g</w:t>
      </w:r>
      <w:r w:rsidRPr="00A534BF">
        <w:rPr>
          <w:rFonts w:ascii="Times New Roman" w:hAnsi="Times New Roman" w:cs="Times New Roman"/>
          <w:sz w:val="24"/>
          <w:szCs w:val="24"/>
          <w:lang w:val="es-PE" w:eastAsia="es-PE"/>
        </w:rPr>
        <w:t xml:space="preserve">lobal de </w:t>
      </w:r>
      <w:r w:rsidR="00303AC9" w:rsidRPr="00A534BF">
        <w:rPr>
          <w:rFonts w:ascii="Times New Roman" w:hAnsi="Times New Roman" w:cs="Times New Roman"/>
          <w:sz w:val="24"/>
          <w:szCs w:val="24"/>
          <w:lang w:val="es-PE" w:eastAsia="es-PE"/>
        </w:rPr>
        <w:t>f</w:t>
      </w:r>
      <w:r w:rsidRPr="00A534BF">
        <w:rPr>
          <w:rFonts w:ascii="Times New Roman" w:hAnsi="Times New Roman" w:cs="Times New Roman"/>
          <w:sz w:val="24"/>
          <w:szCs w:val="24"/>
          <w:lang w:val="es-PE" w:eastAsia="es-PE"/>
        </w:rPr>
        <w:t xml:space="preserve">ecundidad para Sudamérica era de 5,5 hijos por mujer, en el período de 2010-2015 </w:t>
      </w:r>
      <w:r w:rsidR="00303AC9" w:rsidRPr="00A534BF">
        <w:rPr>
          <w:rFonts w:ascii="Times New Roman" w:hAnsi="Times New Roman" w:cs="Times New Roman"/>
          <w:sz w:val="24"/>
          <w:szCs w:val="24"/>
          <w:lang w:val="es-PE" w:eastAsia="es-PE"/>
        </w:rPr>
        <w:t xml:space="preserve">bajara a </w:t>
      </w:r>
      <w:r w:rsidRPr="00A534BF">
        <w:rPr>
          <w:rFonts w:ascii="Times New Roman" w:hAnsi="Times New Roman" w:cs="Times New Roman"/>
          <w:sz w:val="24"/>
          <w:szCs w:val="24"/>
          <w:lang w:val="es-PE" w:eastAsia="es-PE"/>
        </w:rPr>
        <w:t xml:space="preserve"> 2,2 hijos por mujer. Asimismo</w:t>
      </w:r>
      <w:r w:rsidR="00303AC9" w:rsidRPr="00A534BF">
        <w:rPr>
          <w:rFonts w:ascii="Times New Roman" w:hAnsi="Times New Roman" w:cs="Times New Roman"/>
          <w:sz w:val="24"/>
          <w:szCs w:val="24"/>
          <w:lang w:val="es-PE" w:eastAsia="es-PE"/>
        </w:rPr>
        <w:t>,</w:t>
      </w:r>
      <w:r w:rsidRPr="00A534BF">
        <w:rPr>
          <w:rFonts w:ascii="Times New Roman" w:hAnsi="Times New Roman" w:cs="Times New Roman"/>
          <w:sz w:val="24"/>
          <w:szCs w:val="24"/>
          <w:lang w:val="es-PE" w:eastAsia="es-PE"/>
        </w:rPr>
        <w:t xml:space="preserve"> se espera que para el período 2015-2030 llegue a de 2 hijos por mujer</w:t>
      </w:r>
      <w:r w:rsidRPr="00A534BF">
        <w:rPr>
          <w:rFonts w:ascii="Times New Roman" w:hAnsi="Times New Roman" w:cs="Times New Roman"/>
          <w:sz w:val="24"/>
          <w:szCs w:val="24"/>
          <w:vertAlign w:val="superscript"/>
          <w:lang w:val="es-PE" w:eastAsia="es-PE"/>
        </w:rPr>
        <w:footnoteReference w:id="10"/>
      </w:r>
      <w:r w:rsidRPr="00A534BF">
        <w:rPr>
          <w:rFonts w:ascii="Times New Roman" w:hAnsi="Times New Roman" w:cs="Times New Roman"/>
          <w:sz w:val="24"/>
          <w:szCs w:val="24"/>
          <w:lang w:val="es-PE" w:eastAsia="es-PE"/>
        </w:rPr>
        <w:t xml:space="preserve">. En el cuadro a continuación se presentan los datos de </w:t>
      </w:r>
      <w:r w:rsidR="00303AC9" w:rsidRPr="00A534BF">
        <w:rPr>
          <w:rFonts w:ascii="Times New Roman" w:hAnsi="Times New Roman" w:cs="Times New Roman"/>
          <w:sz w:val="24"/>
          <w:szCs w:val="24"/>
          <w:lang w:val="es-PE" w:eastAsia="es-PE"/>
        </w:rPr>
        <w:t>t</w:t>
      </w:r>
      <w:r w:rsidRPr="00A534BF">
        <w:rPr>
          <w:rFonts w:ascii="Times New Roman" w:hAnsi="Times New Roman" w:cs="Times New Roman"/>
          <w:sz w:val="24"/>
          <w:szCs w:val="24"/>
          <w:lang w:val="es-PE" w:eastAsia="es-PE"/>
        </w:rPr>
        <w:t xml:space="preserve">asa de </w:t>
      </w:r>
      <w:r w:rsidR="00303AC9" w:rsidRPr="00A534BF">
        <w:rPr>
          <w:rFonts w:ascii="Times New Roman" w:hAnsi="Times New Roman" w:cs="Times New Roman"/>
          <w:sz w:val="24"/>
          <w:szCs w:val="24"/>
          <w:lang w:val="es-PE" w:eastAsia="es-PE"/>
        </w:rPr>
        <w:t>f</w:t>
      </w:r>
      <w:r w:rsidRPr="00A534BF">
        <w:rPr>
          <w:rFonts w:ascii="Times New Roman" w:hAnsi="Times New Roman" w:cs="Times New Roman"/>
          <w:sz w:val="24"/>
          <w:szCs w:val="24"/>
          <w:lang w:val="es-PE" w:eastAsia="es-PE"/>
        </w:rPr>
        <w:t>ecundidad en los Estados parte del MERCOSUR.</w:t>
      </w:r>
    </w:p>
    <w:p w14:paraId="37285243" w14:textId="77777777" w:rsidR="009C56E7" w:rsidRPr="00AF652C" w:rsidRDefault="009C56E7" w:rsidP="00AF652C">
      <w:pPr>
        <w:jc w:val="center"/>
        <w:rPr>
          <w:rFonts w:ascii="Times New Roman" w:eastAsiaTheme="minorEastAsia" w:hAnsi="Times New Roman" w:cs="Times New Roman"/>
          <w:b/>
          <w:sz w:val="24"/>
          <w:szCs w:val="24"/>
          <w:lang w:val="es-ES_tradnl" w:eastAsia="es-ES"/>
        </w:rPr>
      </w:pPr>
      <w:r w:rsidRPr="00AF652C">
        <w:rPr>
          <w:rFonts w:ascii="Times New Roman" w:eastAsiaTheme="minorEastAsia" w:hAnsi="Times New Roman" w:cs="Times New Roman"/>
          <w:b/>
          <w:sz w:val="24"/>
          <w:szCs w:val="24"/>
          <w:lang w:val="es-ES_tradnl" w:eastAsia="es-ES"/>
        </w:rPr>
        <w:t>Cuadro N</w:t>
      </w:r>
      <w:r w:rsidRPr="00AF652C">
        <w:rPr>
          <w:rFonts w:ascii="Times New Roman" w:eastAsiaTheme="minorEastAsia" w:hAnsi="Times New Roman" w:cs="Times New Roman"/>
          <w:b/>
          <w:sz w:val="24"/>
          <w:szCs w:val="24"/>
          <w:vertAlign w:val="superscript"/>
          <w:lang w:val="es-ES_tradnl" w:eastAsia="es-ES"/>
        </w:rPr>
        <w:t>ro</w:t>
      </w:r>
      <w:r w:rsidRPr="00AF652C">
        <w:rPr>
          <w:rFonts w:ascii="Times New Roman" w:eastAsiaTheme="minorEastAsia" w:hAnsi="Times New Roman" w:cs="Times New Roman"/>
          <w:b/>
          <w:sz w:val="24"/>
          <w:szCs w:val="24"/>
          <w:lang w:val="es-ES_tradnl" w:eastAsia="es-ES"/>
        </w:rPr>
        <w:t>. 1: ESTADOS PARTE DEL MERCOSUR CANTIDAD DE HIJOS POR MUJER 2000-2014</w:t>
      </w:r>
    </w:p>
    <w:tbl>
      <w:tblPr>
        <w:tblStyle w:val="Tablaconcuadrcula"/>
        <w:tblW w:w="0" w:type="auto"/>
        <w:tblLayout w:type="fixed"/>
        <w:tblLook w:val="04A0" w:firstRow="1" w:lastRow="0" w:firstColumn="1" w:lastColumn="0" w:noHBand="0" w:noVBand="1"/>
      </w:tblPr>
      <w:tblGrid>
        <w:gridCol w:w="2518"/>
        <w:gridCol w:w="142"/>
        <w:gridCol w:w="1900"/>
        <w:gridCol w:w="94"/>
        <w:gridCol w:w="1948"/>
        <w:gridCol w:w="47"/>
        <w:gridCol w:w="1995"/>
      </w:tblGrid>
      <w:tr w:rsidR="009C56E7" w:rsidRPr="00A534BF" w14:paraId="4C5D7594" w14:textId="77777777" w:rsidTr="00547063">
        <w:tc>
          <w:tcPr>
            <w:tcW w:w="2518" w:type="dxa"/>
            <w:shd w:val="clear" w:color="auto" w:fill="000000" w:themeFill="text1"/>
          </w:tcPr>
          <w:p w14:paraId="20E8A2A4"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Estado Parte</w:t>
            </w:r>
          </w:p>
        </w:tc>
        <w:tc>
          <w:tcPr>
            <w:tcW w:w="2042" w:type="dxa"/>
            <w:gridSpan w:val="2"/>
            <w:shd w:val="clear" w:color="auto" w:fill="000000" w:themeFill="text1"/>
          </w:tcPr>
          <w:p w14:paraId="17B4404D"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2000</w:t>
            </w:r>
          </w:p>
        </w:tc>
        <w:tc>
          <w:tcPr>
            <w:tcW w:w="2042" w:type="dxa"/>
            <w:gridSpan w:val="2"/>
            <w:shd w:val="clear" w:color="auto" w:fill="000000" w:themeFill="text1"/>
          </w:tcPr>
          <w:p w14:paraId="791391D3"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2010</w:t>
            </w:r>
          </w:p>
        </w:tc>
        <w:tc>
          <w:tcPr>
            <w:tcW w:w="2042" w:type="dxa"/>
            <w:gridSpan w:val="2"/>
            <w:shd w:val="clear" w:color="auto" w:fill="000000" w:themeFill="text1"/>
          </w:tcPr>
          <w:p w14:paraId="7ECE5345"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2014</w:t>
            </w:r>
          </w:p>
        </w:tc>
      </w:tr>
      <w:tr w:rsidR="009C56E7" w:rsidRPr="00A534BF" w14:paraId="48D50D1B" w14:textId="77777777" w:rsidTr="00547063">
        <w:tc>
          <w:tcPr>
            <w:tcW w:w="2660" w:type="dxa"/>
            <w:gridSpan w:val="2"/>
          </w:tcPr>
          <w:p w14:paraId="38747DD1"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Argentina</w:t>
            </w:r>
          </w:p>
        </w:tc>
        <w:tc>
          <w:tcPr>
            <w:tcW w:w="1994" w:type="dxa"/>
            <w:gridSpan w:val="2"/>
          </w:tcPr>
          <w:p w14:paraId="680B869A"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2,6</w:t>
            </w:r>
          </w:p>
        </w:tc>
        <w:tc>
          <w:tcPr>
            <w:tcW w:w="1995" w:type="dxa"/>
            <w:gridSpan w:val="2"/>
          </w:tcPr>
          <w:p w14:paraId="1D37AD52"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2,4</w:t>
            </w:r>
          </w:p>
        </w:tc>
        <w:tc>
          <w:tcPr>
            <w:tcW w:w="1995" w:type="dxa"/>
          </w:tcPr>
          <w:p w14:paraId="7C00E16D"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2,3</w:t>
            </w:r>
          </w:p>
        </w:tc>
      </w:tr>
      <w:tr w:rsidR="009C56E7" w:rsidRPr="00A534BF" w14:paraId="2107E346" w14:textId="77777777" w:rsidTr="00547063">
        <w:tc>
          <w:tcPr>
            <w:tcW w:w="2660" w:type="dxa"/>
            <w:gridSpan w:val="2"/>
          </w:tcPr>
          <w:p w14:paraId="30649E0D"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Brasil</w:t>
            </w:r>
          </w:p>
        </w:tc>
        <w:tc>
          <w:tcPr>
            <w:tcW w:w="1994" w:type="dxa"/>
            <w:gridSpan w:val="2"/>
          </w:tcPr>
          <w:p w14:paraId="1F101903"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2,4</w:t>
            </w:r>
          </w:p>
        </w:tc>
        <w:tc>
          <w:tcPr>
            <w:tcW w:w="1995" w:type="dxa"/>
            <w:gridSpan w:val="2"/>
          </w:tcPr>
          <w:p w14:paraId="479C5C16"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1,8</w:t>
            </w:r>
          </w:p>
        </w:tc>
        <w:tc>
          <w:tcPr>
            <w:tcW w:w="1995" w:type="dxa"/>
          </w:tcPr>
          <w:p w14:paraId="54858338"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1,8</w:t>
            </w:r>
          </w:p>
        </w:tc>
      </w:tr>
      <w:tr w:rsidR="009C56E7" w:rsidRPr="00A534BF" w14:paraId="32360EEE" w14:textId="77777777" w:rsidTr="00547063">
        <w:tc>
          <w:tcPr>
            <w:tcW w:w="2660" w:type="dxa"/>
            <w:gridSpan w:val="2"/>
          </w:tcPr>
          <w:p w14:paraId="46A6A56F"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Paraguay</w:t>
            </w:r>
          </w:p>
        </w:tc>
        <w:tc>
          <w:tcPr>
            <w:tcW w:w="1994" w:type="dxa"/>
            <w:gridSpan w:val="2"/>
          </w:tcPr>
          <w:p w14:paraId="0225653A"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3,6</w:t>
            </w:r>
          </w:p>
        </w:tc>
        <w:tc>
          <w:tcPr>
            <w:tcW w:w="1995" w:type="dxa"/>
            <w:gridSpan w:val="2"/>
          </w:tcPr>
          <w:p w14:paraId="6FA903A3"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2,7</w:t>
            </w:r>
          </w:p>
        </w:tc>
        <w:tc>
          <w:tcPr>
            <w:tcW w:w="1995" w:type="dxa"/>
          </w:tcPr>
          <w:p w14:paraId="41FD6C71"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2,5</w:t>
            </w:r>
          </w:p>
        </w:tc>
      </w:tr>
      <w:tr w:rsidR="009C56E7" w:rsidRPr="00A534BF" w14:paraId="217AB15D" w14:textId="77777777" w:rsidTr="00547063">
        <w:tc>
          <w:tcPr>
            <w:tcW w:w="2660" w:type="dxa"/>
            <w:gridSpan w:val="2"/>
          </w:tcPr>
          <w:p w14:paraId="5EE79F2B"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Uruguay</w:t>
            </w:r>
          </w:p>
        </w:tc>
        <w:tc>
          <w:tcPr>
            <w:tcW w:w="1994" w:type="dxa"/>
            <w:gridSpan w:val="2"/>
          </w:tcPr>
          <w:p w14:paraId="76D2253C"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2,2</w:t>
            </w:r>
          </w:p>
        </w:tc>
        <w:tc>
          <w:tcPr>
            <w:tcW w:w="1995" w:type="dxa"/>
            <w:gridSpan w:val="2"/>
          </w:tcPr>
          <w:p w14:paraId="76EB6F39"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2,1</w:t>
            </w:r>
          </w:p>
        </w:tc>
        <w:tc>
          <w:tcPr>
            <w:tcW w:w="1995" w:type="dxa"/>
          </w:tcPr>
          <w:p w14:paraId="4116C46F"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2,0</w:t>
            </w:r>
          </w:p>
        </w:tc>
      </w:tr>
      <w:tr w:rsidR="009C56E7" w:rsidRPr="00A534BF" w14:paraId="50867C48" w14:textId="77777777" w:rsidTr="00547063">
        <w:tc>
          <w:tcPr>
            <w:tcW w:w="2660" w:type="dxa"/>
            <w:gridSpan w:val="2"/>
          </w:tcPr>
          <w:p w14:paraId="7AF30ADB"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República Bolivariana de Venezuela</w:t>
            </w:r>
          </w:p>
        </w:tc>
        <w:tc>
          <w:tcPr>
            <w:tcW w:w="1994" w:type="dxa"/>
            <w:gridSpan w:val="2"/>
          </w:tcPr>
          <w:p w14:paraId="58F47E1A"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2,8</w:t>
            </w:r>
          </w:p>
        </w:tc>
        <w:tc>
          <w:tcPr>
            <w:tcW w:w="1995" w:type="dxa"/>
            <w:gridSpan w:val="2"/>
          </w:tcPr>
          <w:p w14:paraId="36967FBE"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2,5</w:t>
            </w:r>
          </w:p>
        </w:tc>
        <w:tc>
          <w:tcPr>
            <w:tcW w:w="1995" w:type="dxa"/>
          </w:tcPr>
          <w:p w14:paraId="46AF5CC3"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2,4</w:t>
            </w:r>
          </w:p>
        </w:tc>
      </w:tr>
    </w:tbl>
    <w:p w14:paraId="525AAF05"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 xml:space="preserve">Fuente: OPS/OMS Plataforma de Información en Salud de las Américas. Disponible en: </w:t>
      </w:r>
      <w:hyperlink r:id="rId8" w:history="1">
        <w:r w:rsidRPr="00A534BF">
          <w:rPr>
            <w:rFonts w:ascii="Times New Roman" w:hAnsi="Times New Roman" w:cs="Times New Roman"/>
            <w:color w:val="0563C1" w:themeColor="hyperlink"/>
            <w:sz w:val="24"/>
            <w:szCs w:val="24"/>
            <w:u w:val="single"/>
            <w:lang w:val="es-PE" w:eastAsia="es-PE"/>
          </w:rPr>
          <w:t>http://www.paho.org/data/index.php/es/analisis/perfiles-de-salud/perfiles-de-salud-nac/274-perfiles-nacional-indicadores.html</w:t>
        </w:r>
      </w:hyperlink>
      <w:r w:rsidRPr="00A534BF">
        <w:rPr>
          <w:rFonts w:ascii="Times New Roman" w:hAnsi="Times New Roman" w:cs="Times New Roman"/>
          <w:sz w:val="24"/>
          <w:szCs w:val="24"/>
          <w:lang w:val="es-PE" w:eastAsia="es-PE"/>
        </w:rPr>
        <w:t>. Acceso. Mayo, 201</w:t>
      </w:r>
    </w:p>
    <w:p w14:paraId="7BF93CFD" w14:textId="2C1ADE7B" w:rsidR="009C56E7" w:rsidRPr="00A534BF" w:rsidRDefault="009C56E7" w:rsidP="003B74A4">
      <w:pPr>
        <w:rPr>
          <w:rFonts w:ascii="Times New Roman" w:hAnsi="Times New Roman" w:cs="Times New Roman"/>
          <w:sz w:val="24"/>
          <w:szCs w:val="24"/>
          <w:lang w:val="es-ES_tradnl" w:eastAsia="es-PE"/>
        </w:rPr>
      </w:pPr>
      <w:r w:rsidRPr="00A534BF">
        <w:rPr>
          <w:rFonts w:ascii="Times New Roman" w:hAnsi="Times New Roman" w:cs="Times New Roman"/>
          <w:sz w:val="24"/>
          <w:szCs w:val="24"/>
          <w:lang w:val="es-PE" w:eastAsia="es-PE"/>
        </w:rPr>
        <w:t>A su vez, los países del MERCOSUR, así como toda Sudamérica</w:t>
      </w:r>
      <w:r w:rsidR="003E2435" w:rsidRPr="00A534BF">
        <w:rPr>
          <w:rFonts w:ascii="Times New Roman" w:hAnsi="Times New Roman" w:cs="Times New Roman"/>
          <w:sz w:val="24"/>
          <w:szCs w:val="24"/>
          <w:lang w:val="es-PE" w:eastAsia="es-PE"/>
        </w:rPr>
        <w:t>,</w:t>
      </w:r>
      <w:r w:rsidRPr="00A534BF">
        <w:rPr>
          <w:rFonts w:ascii="Times New Roman" w:hAnsi="Times New Roman" w:cs="Times New Roman"/>
          <w:sz w:val="24"/>
          <w:szCs w:val="24"/>
          <w:lang w:val="es-PE" w:eastAsia="es-PE"/>
        </w:rPr>
        <w:t xml:space="preserve"> han aumentado la esperanza de vida </w:t>
      </w:r>
      <w:r w:rsidR="00303AC9" w:rsidRPr="00A534BF">
        <w:rPr>
          <w:rFonts w:ascii="Times New Roman" w:hAnsi="Times New Roman" w:cs="Times New Roman"/>
          <w:sz w:val="24"/>
          <w:szCs w:val="24"/>
          <w:lang w:val="es-PE" w:eastAsia="es-PE"/>
        </w:rPr>
        <w:t xml:space="preserve">al nascer (EVN) </w:t>
      </w:r>
      <w:r w:rsidRPr="00A534BF">
        <w:rPr>
          <w:rFonts w:ascii="Times New Roman" w:hAnsi="Times New Roman" w:cs="Times New Roman"/>
          <w:sz w:val="24"/>
          <w:szCs w:val="24"/>
          <w:lang w:val="es-PE" w:eastAsia="es-PE"/>
        </w:rPr>
        <w:t xml:space="preserve">de su población. En 1950 la </w:t>
      </w:r>
      <w:r w:rsidR="00303AC9" w:rsidRPr="00A534BF">
        <w:rPr>
          <w:rFonts w:ascii="Times New Roman" w:hAnsi="Times New Roman" w:cs="Times New Roman"/>
          <w:sz w:val="24"/>
          <w:szCs w:val="24"/>
          <w:lang w:val="es-PE" w:eastAsia="es-PE"/>
        </w:rPr>
        <w:t>EVN</w:t>
      </w:r>
      <w:r w:rsidRPr="00A534BF">
        <w:rPr>
          <w:rFonts w:ascii="Times New Roman" w:hAnsi="Times New Roman" w:cs="Times New Roman"/>
          <w:sz w:val="24"/>
          <w:szCs w:val="24"/>
          <w:lang w:val="es-PE" w:eastAsia="es-PE"/>
        </w:rPr>
        <w:t xml:space="preserve"> para ambos sexos no superaba los 60 años. Según el informe de WHO (2016) World Health Stati</w:t>
      </w:r>
      <w:r w:rsidR="003E2435" w:rsidRPr="00A534BF">
        <w:rPr>
          <w:rFonts w:ascii="Times New Roman" w:hAnsi="Times New Roman" w:cs="Times New Roman"/>
          <w:sz w:val="24"/>
          <w:szCs w:val="24"/>
          <w:lang w:val="es-PE" w:eastAsia="es-PE"/>
        </w:rPr>
        <w:t>s</w:t>
      </w:r>
      <w:r w:rsidRPr="00A534BF">
        <w:rPr>
          <w:rFonts w:ascii="Times New Roman" w:hAnsi="Times New Roman" w:cs="Times New Roman"/>
          <w:sz w:val="24"/>
          <w:szCs w:val="24"/>
          <w:lang w:val="es-PE" w:eastAsia="es-PE"/>
        </w:rPr>
        <w:t>tic-Monitoring Heath for SDGs</w:t>
      </w:r>
      <w:r w:rsidR="00303AC9" w:rsidRPr="00A534BF">
        <w:rPr>
          <w:rFonts w:ascii="Times New Roman" w:hAnsi="Times New Roman" w:cs="Times New Roman"/>
          <w:sz w:val="24"/>
          <w:szCs w:val="24"/>
          <w:lang w:val="es-PE" w:eastAsia="es-PE"/>
        </w:rPr>
        <w:t>)</w:t>
      </w:r>
      <w:r w:rsidRPr="00A534BF">
        <w:rPr>
          <w:rFonts w:ascii="Times New Roman" w:hAnsi="Times New Roman" w:cs="Times New Roman"/>
          <w:sz w:val="24"/>
          <w:szCs w:val="24"/>
          <w:lang w:val="es-PE" w:eastAsia="es-PE"/>
        </w:rPr>
        <w:t>, el promedio de la esperanza de vida para Sudamérica es de 68,55 años. En el cuadro N</w:t>
      </w:r>
      <w:r w:rsidRPr="00A534BF">
        <w:rPr>
          <w:rFonts w:ascii="Times New Roman" w:hAnsi="Times New Roman" w:cs="Times New Roman"/>
          <w:sz w:val="24"/>
          <w:szCs w:val="24"/>
          <w:vertAlign w:val="superscript"/>
          <w:lang w:val="es-PE" w:eastAsia="es-PE"/>
        </w:rPr>
        <w:t>ro</w:t>
      </w:r>
      <w:r w:rsidRPr="00A534BF">
        <w:rPr>
          <w:rFonts w:ascii="Times New Roman" w:hAnsi="Times New Roman" w:cs="Times New Roman"/>
          <w:sz w:val="24"/>
          <w:szCs w:val="24"/>
          <w:lang w:val="es-PE" w:eastAsia="es-PE"/>
        </w:rPr>
        <w:t>. 2</w:t>
      </w:r>
      <w:r w:rsidR="00303AC9" w:rsidRPr="00A534BF">
        <w:rPr>
          <w:rFonts w:ascii="Times New Roman" w:hAnsi="Times New Roman" w:cs="Times New Roman"/>
          <w:sz w:val="24"/>
          <w:szCs w:val="24"/>
          <w:lang w:val="es-PE" w:eastAsia="es-PE"/>
        </w:rPr>
        <w:t>,</w:t>
      </w:r>
      <w:r w:rsidRPr="00A534BF">
        <w:rPr>
          <w:rFonts w:ascii="Times New Roman" w:hAnsi="Times New Roman" w:cs="Times New Roman"/>
          <w:sz w:val="24"/>
          <w:szCs w:val="24"/>
          <w:lang w:val="es-PE" w:eastAsia="es-PE"/>
        </w:rPr>
        <w:t xml:space="preserve"> a continuación</w:t>
      </w:r>
      <w:r w:rsidR="00303AC9" w:rsidRPr="00A534BF">
        <w:rPr>
          <w:rFonts w:ascii="Times New Roman" w:hAnsi="Times New Roman" w:cs="Times New Roman"/>
          <w:sz w:val="24"/>
          <w:szCs w:val="24"/>
          <w:lang w:val="es-PE" w:eastAsia="es-PE"/>
        </w:rPr>
        <w:t>,</w:t>
      </w:r>
      <w:r w:rsidRPr="00A534BF">
        <w:rPr>
          <w:rFonts w:ascii="Times New Roman" w:hAnsi="Times New Roman" w:cs="Times New Roman"/>
          <w:sz w:val="24"/>
          <w:szCs w:val="24"/>
          <w:lang w:val="es-PE" w:eastAsia="es-PE"/>
        </w:rPr>
        <w:t xml:space="preserve"> se observa la </w:t>
      </w:r>
      <w:r w:rsidR="00303AC9" w:rsidRPr="00A534BF">
        <w:rPr>
          <w:rFonts w:ascii="Times New Roman" w:hAnsi="Times New Roman" w:cs="Times New Roman"/>
          <w:sz w:val="24"/>
          <w:szCs w:val="24"/>
          <w:lang w:val="es-PE" w:eastAsia="es-PE"/>
        </w:rPr>
        <w:t>EVN</w:t>
      </w:r>
      <w:r w:rsidRPr="00A534BF">
        <w:rPr>
          <w:rFonts w:ascii="Times New Roman" w:hAnsi="Times New Roman" w:cs="Times New Roman"/>
          <w:sz w:val="24"/>
          <w:szCs w:val="24"/>
          <w:lang w:val="es-PE" w:eastAsia="es-PE"/>
        </w:rPr>
        <w:t xml:space="preserve"> de los Estados parte del MERCOSUR, pudiéndose observar que Uruguay es el país que presenta </w:t>
      </w:r>
      <w:r w:rsidR="00DD0E9F" w:rsidRPr="00A534BF">
        <w:rPr>
          <w:rFonts w:ascii="Times New Roman" w:hAnsi="Times New Roman" w:cs="Times New Roman"/>
          <w:sz w:val="24"/>
          <w:szCs w:val="24"/>
          <w:lang w:val="es-PE" w:eastAsia="es-PE"/>
        </w:rPr>
        <w:t xml:space="preserve">la más alta </w:t>
      </w:r>
      <w:r w:rsidRPr="00A534BF">
        <w:rPr>
          <w:rFonts w:ascii="Times New Roman" w:hAnsi="Times New Roman" w:cs="Times New Roman"/>
          <w:sz w:val="24"/>
          <w:szCs w:val="24"/>
          <w:lang w:val="es-PE" w:eastAsia="es-PE"/>
        </w:rPr>
        <w:t xml:space="preserve"> esperanza de vida </w:t>
      </w:r>
      <w:r w:rsidR="00DD0E9F" w:rsidRPr="00A534BF">
        <w:rPr>
          <w:rFonts w:ascii="Times New Roman" w:hAnsi="Times New Roman" w:cs="Times New Roman"/>
          <w:sz w:val="24"/>
          <w:szCs w:val="24"/>
          <w:lang w:val="es-PE" w:eastAsia="es-PE"/>
        </w:rPr>
        <w:t>(</w:t>
      </w:r>
      <w:r w:rsidRPr="00A534BF">
        <w:rPr>
          <w:rFonts w:ascii="Times New Roman" w:hAnsi="Times New Roman" w:cs="Times New Roman"/>
          <w:sz w:val="24"/>
          <w:szCs w:val="24"/>
          <w:lang w:val="es-PE" w:eastAsia="es-PE"/>
        </w:rPr>
        <w:t>77,2 años</w:t>
      </w:r>
      <w:r w:rsidR="00DD0E9F" w:rsidRPr="00A534BF">
        <w:rPr>
          <w:rFonts w:ascii="Times New Roman" w:hAnsi="Times New Roman" w:cs="Times New Roman"/>
          <w:sz w:val="24"/>
          <w:szCs w:val="24"/>
          <w:lang w:val="es-PE" w:eastAsia="es-PE"/>
        </w:rPr>
        <w:t>)</w:t>
      </w:r>
      <w:r w:rsidRPr="00A534BF">
        <w:rPr>
          <w:rFonts w:ascii="Times New Roman" w:hAnsi="Times New Roman" w:cs="Times New Roman"/>
          <w:sz w:val="24"/>
          <w:szCs w:val="24"/>
          <w:lang w:val="es-PE" w:eastAsia="es-PE"/>
        </w:rPr>
        <w:t>, seguido por Argentina</w:t>
      </w:r>
      <w:r w:rsidR="00DD0E9F" w:rsidRPr="00A534BF">
        <w:rPr>
          <w:rFonts w:ascii="Times New Roman" w:hAnsi="Times New Roman" w:cs="Times New Roman"/>
          <w:sz w:val="24"/>
          <w:szCs w:val="24"/>
          <w:lang w:val="es-PE" w:eastAsia="es-PE"/>
        </w:rPr>
        <w:t>, con</w:t>
      </w:r>
      <w:r w:rsidRPr="00A534BF">
        <w:rPr>
          <w:rFonts w:ascii="Times New Roman" w:hAnsi="Times New Roman" w:cs="Times New Roman"/>
          <w:sz w:val="24"/>
          <w:szCs w:val="24"/>
          <w:lang w:val="es-PE" w:eastAsia="es-PE"/>
        </w:rPr>
        <w:t xml:space="preserve"> 76,3 años. </w:t>
      </w:r>
    </w:p>
    <w:p w14:paraId="23A59E83" w14:textId="77777777" w:rsidR="009C56E7" w:rsidRPr="00A534BF" w:rsidRDefault="009C56E7" w:rsidP="00F30204">
      <w:pPr>
        <w:jc w:val="both"/>
        <w:rPr>
          <w:rFonts w:ascii="Times New Roman" w:eastAsiaTheme="minorEastAsia" w:hAnsi="Times New Roman" w:cs="Times New Roman"/>
          <w:sz w:val="24"/>
          <w:szCs w:val="24"/>
          <w:lang w:val="es-ES_tradnl" w:eastAsia="es-ES"/>
        </w:rPr>
      </w:pPr>
      <w:r w:rsidRPr="00A534BF">
        <w:rPr>
          <w:rFonts w:ascii="Times New Roman" w:eastAsiaTheme="minorEastAsia" w:hAnsi="Times New Roman" w:cs="Times New Roman"/>
          <w:sz w:val="24"/>
          <w:szCs w:val="24"/>
          <w:lang w:val="es-ES_tradnl" w:eastAsia="es-ES"/>
        </w:rPr>
        <w:t>Cuadro N</w:t>
      </w:r>
      <w:r w:rsidRPr="00A534BF">
        <w:rPr>
          <w:rFonts w:ascii="Times New Roman" w:eastAsiaTheme="minorEastAsia" w:hAnsi="Times New Roman" w:cs="Times New Roman"/>
          <w:sz w:val="24"/>
          <w:szCs w:val="24"/>
          <w:vertAlign w:val="superscript"/>
          <w:lang w:val="es-ES_tradnl" w:eastAsia="es-ES"/>
        </w:rPr>
        <w:t>ro</w:t>
      </w:r>
      <w:r w:rsidRPr="00A534BF">
        <w:rPr>
          <w:rFonts w:ascii="Times New Roman" w:eastAsiaTheme="minorEastAsia" w:hAnsi="Times New Roman" w:cs="Times New Roman"/>
          <w:sz w:val="24"/>
          <w:szCs w:val="24"/>
          <w:lang w:val="es-ES_tradnl" w:eastAsia="es-ES"/>
        </w:rPr>
        <w:t>. 2:ESTADOS PARTE DEL MERCOSUR ESPERANZA DE VIDA AL NACER 2000-2014</w:t>
      </w:r>
    </w:p>
    <w:tbl>
      <w:tblPr>
        <w:tblStyle w:val="Tablaconcuadrcula"/>
        <w:tblW w:w="0" w:type="auto"/>
        <w:tblLayout w:type="fixed"/>
        <w:tblLook w:val="04A0" w:firstRow="1" w:lastRow="0" w:firstColumn="1" w:lastColumn="0" w:noHBand="0" w:noVBand="1"/>
      </w:tblPr>
      <w:tblGrid>
        <w:gridCol w:w="2518"/>
        <w:gridCol w:w="142"/>
        <w:gridCol w:w="1900"/>
        <w:gridCol w:w="94"/>
        <w:gridCol w:w="1948"/>
        <w:gridCol w:w="47"/>
        <w:gridCol w:w="1995"/>
      </w:tblGrid>
      <w:tr w:rsidR="009C56E7" w:rsidRPr="00A534BF" w14:paraId="1E648653" w14:textId="77777777" w:rsidTr="00547063">
        <w:tc>
          <w:tcPr>
            <w:tcW w:w="2518" w:type="dxa"/>
            <w:shd w:val="clear" w:color="auto" w:fill="000000" w:themeFill="text1"/>
          </w:tcPr>
          <w:p w14:paraId="23BED0F2" w14:textId="77777777" w:rsidR="009C56E7" w:rsidRPr="00AF652C" w:rsidRDefault="009C56E7" w:rsidP="00F30204">
            <w:pPr>
              <w:jc w:val="both"/>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Estado Parte</w:t>
            </w:r>
          </w:p>
        </w:tc>
        <w:tc>
          <w:tcPr>
            <w:tcW w:w="2042" w:type="dxa"/>
            <w:gridSpan w:val="2"/>
            <w:shd w:val="clear" w:color="auto" w:fill="000000" w:themeFill="text1"/>
          </w:tcPr>
          <w:p w14:paraId="6A62A715" w14:textId="77777777" w:rsidR="009C56E7" w:rsidRPr="00AF652C" w:rsidRDefault="009C56E7" w:rsidP="00AF652C">
            <w:pPr>
              <w:jc w:val="center"/>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2000</w:t>
            </w:r>
          </w:p>
        </w:tc>
        <w:tc>
          <w:tcPr>
            <w:tcW w:w="2042" w:type="dxa"/>
            <w:gridSpan w:val="2"/>
            <w:shd w:val="clear" w:color="auto" w:fill="000000" w:themeFill="text1"/>
          </w:tcPr>
          <w:p w14:paraId="65B0C24B" w14:textId="77777777" w:rsidR="009C56E7" w:rsidRPr="00AF652C" w:rsidRDefault="009C56E7" w:rsidP="00AF652C">
            <w:pPr>
              <w:jc w:val="center"/>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2010</w:t>
            </w:r>
          </w:p>
        </w:tc>
        <w:tc>
          <w:tcPr>
            <w:tcW w:w="2042" w:type="dxa"/>
            <w:gridSpan w:val="2"/>
            <w:shd w:val="clear" w:color="auto" w:fill="000000" w:themeFill="text1"/>
          </w:tcPr>
          <w:p w14:paraId="491AA624" w14:textId="77777777" w:rsidR="009C56E7" w:rsidRPr="00AF652C" w:rsidRDefault="009C56E7" w:rsidP="00AF652C">
            <w:pPr>
              <w:jc w:val="center"/>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2014</w:t>
            </w:r>
          </w:p>
        </w:tc>
      </w:tr>
      <w:tr w:rsidR="009C56E7" w:rsidRPr="00A534BF" w14:paraId="6781FECB" w14:textId="77777777" w:rsidTr="00547063">
        <w:tc>
          <w:tcPr>
            <w:tcW w:w="2660" w:type="dxa"/>
            <w:gridSpan w:val="2"/>
          </w:tcPr>
          <w:p w14:paraId="1181F06D" w14:textId="77777777" w:rsidR="009C56E7" w:rsidRPr="00AF652C" w:rsidRDefault="009C56E7" w:rsidP="00F30204">
            <w:pPr>
              <w:jc w:val="both"/>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Argentina</w:t>
            </w:r>
          </w:p>
        </w:tc>
        <w:tc>
          <w:tcPr>
            <w:tcW w:w="1994" w:type="dxa"/>
            <w:gridSpan w:val="2"/>
          </w:tcPr>
          <w:p w14:paraId="40F14A02" w14:textId="77777777" w:rsidR="009C56E7" w:rsidRPr="00AF652C" w:rsidRDefault="009C56E7" w:rsidP="00AF652C">
            <w:pPr>
              <w:jc w:val="center"/>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73,3</w:t>
            </w:r>
          </w:p>
        </w:tc>
        <w:tc>
          <w:tcPr>
            <w:tcW w:w="1995" w:type="dxa"/>
            <w:gridSpan w:val="2"/>
          </w:tcPr>
          <w:p w14:paraId="03B1025A" w14:textId="77777777" w:rsidR="009C56E7" w:rsidRPr="00AF652C" w:rsidRDefault="009C56E7" w:rsidP="00AF652C">
            <w:pPr>
              <w:jc w:val="center"/>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75,6</w:t>
            </w:r>
          </w:p>
        </w:tc>
        <w:tc>
          <w:tcPr>
            <w:tcW w:w="1995" w:type="dxa"/>
          </w:tcPr>
          <w:p w14:paraId="38B3DF15" w14:textId="77777777" w:rsidR="009C56E7" w:rsidRPr="00AF652C" w:rsidRDefault="009C56E7" w:rsidP="00AF652C">
            <w:pPr>
              <w:jc w:val="center"/>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76,3</w:t>
            </w:r>
          </w:p>
        </w:tc>
      </w:tr>
      <w:tr w:rsidR="009C56E7" w:rsidRPr="00A534BF" w14:paraId="763ECBDE" w14:textId="77777777" w:rsidTr="00547063">
        <w:tc>
          <w:tcPr>
            <w:tcW w:w="2660" w:type="dxa"/>
            <w:gridSpan w:val="2"/>
          </w:tcPr>
          <w:p w14:paraId="0118AD9B" w14:textId="77777777" w:rsidR="009C56E7" w:rsidRPr="00AF652C" w:rsidRDefault="009C56E7" w:rsidP="00F30204">
            <w:pPr>
              <w:jc w:val="both"/>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Brasil</w:t>
            </w:r>
          </w:p>
        </w:tc>
        <w:tc>
          <w:tcPr>
            <w:tcW w:w="1994" w:type="dxa"/>
            <w:gridSpan w:val="2"/>
          </w:tcPr>
          <w:p w14:paraId="2AC8D074" w14:textId="77777777" w:rsidR="009C56E7" w:rsidRPr="00AF652C" w:rsidRDefault="009C56E7" w:rsidP="00AF652C">
            <w:pPr>
              <w:jc w:val="center"/>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73,3</w:t>
            </w:r>
          </w:p>
        </w:tc>
        <w:tc>
          <w:tcPr>
            <w:tcW w:w="1995" w:type="dxa"/>
            <w:gridSpan w:val="2"/>
          </w:tcPr>
          <w:p w14:paraId="74F1AE02" w14:textId="77777777" w:rsidR="009C56E7" w:rsidRPr="00AF652C" w:rsidRDefault="009C56E7" w:rsidP="00AF652C">
            <w:pPr>
              <w:jc w:val="center"/>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75,6</w:t>
            </w:r>
          </w:p>
        </w:tc>
        <w:tc>
          <w:tcPr>
            <w:tcW w:w="1995" w:type="dxa"/>
          </w:tcPr>
          <w:p w14:paraId="76AD6D16" w14:textId="77777777" w:rsidR="009C56E7" w:rsidRPr="00AF652C" w:rsidRDefault="009C56E7" w:rsidP="00AF652C">
            <w:pPr>
              <w:jc w:val="center"/>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74,5</w:t>
            </w:r>
          </w:p>
        </w:tc>
      </w:tr>
      <w:tr w:rsidR="009C56E7" w:rsidRPr="00A534BF" w14:paraId="72CBAD7C" w14:textId="77777777" w:rsidTr="00547063">
        <w:tc>
          <w:tcPr>
            <w:tcW w:w="2660" w:type="dxa"/>
            <w:gridSpan w:val="2"/>
          </w:tcPr>
          <w:p w14:paraId="621FEC9F" w14:textId="77777777" w:rsidR="009C56E7" w:rsidRPr="00AF652C" w:rsidRDefault="009C56E7" w:rsidP="00F30204">
            <w:pPr>
              <w:jc w:val="both"/>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Paraguay</w:t>
            </w:r>
          </w:p>
        </w:tc>
        <w:tc>
          <w:tcPr>
            <w:tcW w:w="1994" w:type="dxa"/>
            <w:gridSpan w:val="2"/>
          </w:tcPr>
          <w:p w14:paraId="7DC57C08" w14:textId="77777777" w:rsidR="009C56E7" w:rsidRPr="00AF652C" w:rsidRDefault="009C56E7" w:rsidP="00AF652C">
            <w:pPr>
              <w:jc w:val="center"/>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70,1</w:t>
            </w:r>
          </w:p>
        </w:tc>
        <w:tc>
          <w:tcPr>
            <w:tcW w:w="1995" w:type="dxa"/>
            <w:gridSpan w:val="2"/>
          </w:tcPr>
          <w:p w14:paraId="1C342ACE" w14:textId="77777777" w:rsidR="009C56E7" w:rsidRPr="00AF652C" w:rsidRDefault="009C56E7" w:rsidP="00AF652C">
            <w:pPr>
              <w:jc w:val="center"/>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72,3</w:t>
            </w:r>
          </w:p>
        </w:tc>
        <w:tc>
          <w:tcPr>
            <w:tcW w:w="1995" w:type="dxa"/>
          </w:tcPr>
          <w:p w14:paraId="185AE9E5" w14:textId="77777777" w:rsidR="009C56E7" w:rsidRPr="00AF652C" w:rsidRDefault="009C56E7" w:rsidP="00AF652C">
            <w:pPr>
              <w:jc w:val="center"/>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72,9</w:t>
            </w:r>
          </w:p>
        </w:tc>
      </w:tr>
      <w:tr w:rsidR="009C56E7" w:rsidRPr="00A534BF" w14:paraId="616740BE" w14:textId="77777777" w:rsidTr="00547063">
        <w:tc>
          <w:tcPr>
            <w:tcW w:w="2660" w:type="dxa"/>
            <w:gridSpan w:val="2"/>
          </w:tcPr>
          <w:p w14:paraId="0ACB7033" w14:textId="77777777" w:rsidR="009C56E7" w:rsidRPr="00AF652C" w:rsidRDefault="009C56E7" w:rsidP="00F30204">
            <w:pPr>
              <w:jc w:val="both"/>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lastRenderedPageBreak/>
              <w:t>Uruguay</w:t>
            </w:r>
          </w:p>
        </w:tc>
        <w:tc>
          <w:tcPr>
            <w:tcW w:w="1994" w:type="dxa"/>
            <w:gridSpan w:val="2"/>
          </w:tcPr>
          <w:p w14:paraId="399C1BA3" w14:textId="77777777" w:rsidR="009C56E7" w:rsidRPr="00AF652C" w:rsidRDefault="009C56E7" w:rsidP="00AF652C">
            <w:pPr>
              <w:jc w:val="center"/>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74,8</w:t>
            </w:r>
          </w:p>
        </w:tc>
        <w:tc>
          <w:tcPr>
            <w:tcW w:w="1995" w:type="dxa"/>
            <w:gridSpan w:val="2"/>
          </w:tcPr>
          <w:p w14:paraId="34DCFE27" w14:textId="77777777" w:rsidR="009C56E7" w:rsidRPr="00AF652C" w:rsidRDefault="009C56E7" w:rsidP="00AF652C">
            <w:pPr>
              <w:jc w:val="center"/>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76,6</w:t>
            </w:r>
          </w:p>
        </w:tc>
        <w:tc>
          <w:tcPr>
            <w:tcW w:w="1995" w:type="dxa"/>
          </w:tcPr>
          <w:p w14:paraId="1D0EF204" w14:textId="77777777" w:rsidR="009C56E7" w:rsidRPr="00AF652C" w:rsidRDefault="009C56E7" w:rsidP="00AF652C">
            <w:pPr>
              <w:jc w:val="center"/>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77,2</w:t>
            </w:r>
          </w:p>
        </w:tc>
      </w:tr>
      <w:tr w:rsidR="009C56E7" w:rsidRPr="00A534BF" w14:paraId="2658D43C" w14:textId="77777777" w:rsidTr="00547063">
        <w:tc>
          <w:tcPr>
            <w:tcW w:w="2660" w:type="dxa"/>
            <w:gridSpan w:val="2"/>
          </w:tcPr>
          <w:p w14:paraId="512BA931" w14:textId="77777777" w:rsidR="009C56E7" w:rsidRPr="00AF652C" w:rsidRDefault="009C56E7" w:rsidP="00F30204">
            <w:pPr>
              <w:jc w:val="both"/>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República Bolivariana de Venezuela</w:t>
            </w:r>
          </w:p>
        </w:tc>
        <w:tc>
          <w:tcPr>
            <w:tcW w:w="1994" w:type="dxa"/>
            <w:gridSpan w:val="2"/>
          </w:tcPr>
          <w:p w14:paraId="1306936C" w14:textId="77777777" w:rsidR="009C56E7" w:rsidRPr="00AF652C" w:rsidRDefault="009C56E7" w:rsidP="00AF652C">
            <w:pPr>
              <w:jc w:val="center"/>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72,3</w:t>
            </w:r>
          </w:p>
        </w:tc>
        <w:tc>
          <w:tcPr>
            <w:tcW w:w="1995" w:type="dxa"/>
            <w:gridSpan w:val="2"/>
          </w:tcPr>
          <w:p w14:paraId="7E5248CF" w14:textId="77777777" w:rsidR="009C56E7" w:rsidRPr="00AF652C" w:rsidRDefault="009C56E7" w:rsidP="00AF652C">
            <w:pPr>
              <w:jc w:val="center"/>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73,6</w:t>
            </w:r>
          </w:p>
        </w:tc>
        <w:tc>
          <w:tcPr>
            <w:tcW w:w="1995" w:type="dxa"/>
          </w:tcPr>
          <w:p w14:paraId="35C01E58" w14:textId="77777777" w:rsidR="009C56E7" w:rsidRPr="00AF652C" w:rsidRDefault="009C56E7" w:rsidP="00AF652C">
            <w:pPr>
              <w:jc w:val="center"/>
              <w:rPr>
                <w:rFonts w:ascii="Times New Roman" w:hAnsi="Times New Roman" w:cs="Times New Roman"/>
                <w:sz w:val="20"/>
                <w:szCs w:val="20"/>
                <w:lang w:val="es-PE" w:eastAsia="es-PE"/>
              </w:rPr>
            </w:pPr>
            <w:r w:rsidRPr="00AF652C">
              <w:rPr>
                <w:rFonts w:ascii="Times New Roman" w:hAnsi="Times New Roman" w:cs="Times New Roman"/>
                <w:sz w:val="20"/>
                <w:szCs w:val="20"/>
                <w:lang w:val="es-PE" w:eastAsia="es-PE"/>
              </w:rPr>
              <w:t>74,2</w:t>
            </w:r>
          </w:p>
        </w:tc>
      </w:tr>
    </w:tbl>
    <w:p w14:paraId="38D2D977" w14:textId="77777777" w:rsidR="009C56E7" w:rsidRPr="00A534BF" w:rsidRDefault="009C56E7" w:rsidP="00F30204">
      <w:pPr>
        <w:jc w:val="both"/>
        <w:rPr>
          <w:rFonts w:ascii="Times New Roman" w:hAnsi="Times New Roman" w:cs="Times New Roman"/>
          <w:sz w:val="24"/>
          <w:szCs w:val="24"/>
          <w:lang w:val="es-PE" w:eastAsia="es-PE"/>
        </w:rPr>
      </w:pPr>
      <w:r w:rsidRPr="00A534BF">
        <w:rPr>
          <w:rFonts w:ascii="Times New Roman" w:hAnsi="Times New Roman" w:cs="Times New Roman"/>
          <w:sz w:val="24"/>
          <w:szCs w:val="24"/>
          <w:lang w:val="es-PE" w:eastAsia="es-PE"/>
        </w:rPr>
        <w:t xml:space="preserve">Fuente: OPS/OMS Plataforma de Información en Salud de las Américas. Disponible en: </w:t>
      </w:r>
      <w:hyperlink r:id="rId9" w:history="1">
        <w:r w:rsidRPr="00A534BF">
          <w:rPr>
            <w:rFonts w:ascii="Times New Roman" w:hAnsi="Times New Roman" w:cs="Times New Roman"/>
            <w:color w:val="0563C1" w:themeColor="hyperlink"/>
            <w:sz w:val="24"/>
            <w:szCs w:val="24"/>
            <w:u w:val="single"/>
            <w:lang w:val="es-PE" w:eastAsia="es-PE"/>
          </w:rPr>
          <w:t>http://www.paho.org/data/index.php/es/analisis/perfiles-de-salud/perfiles-de-salud-nac/274-perfiles-nacional-indicadores.html</w:t>
        </w:r>
      </w:hyperlink>
      <w:r w:rsidRPr="00A534BF">
        <w:rPr>
          <w:rFonts w:ascii="Times New Roman" w:hAnsi="Times New Roman" w:cs="Times New Roman"/>
          <w:sz w:val="24"/>
          <w:szCs w:val="24"/>
          <w:lang w:val="es-PE" w:eastAsia="es-PE"/>
        </w:rPr>
        <w:t>. Acceso. Mayo, 201</w:t>
      </w:r>
    </w:p>
    <w:p w14:paraId="2F2D5807" w14:textId="09CCAA57" w:rsidR="009C56E7" w:rsidRPr="00A534BF" w:rsidRDefault="009C56E7" w:rsidP="003B74A4">
      <w:pPr>
        <w:rPr>
          <w:rFonts w:ascii="Times New Roman" w:hAnsi="Times New Roman" w:cs="Times New Roman"/>
          <w:sz w:val="24"/>
          <w:szCs w:val="24"/>
          <w:lang w:val="es-ES_tradnl" w:eastAsia="es-PE"/>
        </w:rPr>
      </w:pPr>
      <w:r w:rsidRPr="00A534BF">
        <w:rPr>
          <w:rFonts w:ascii="Times New Roman" w:hAnsi="Times New Roman" w:cs="Times New Roman"/>
          <w:sz w:val="24"/>
          <w:szCs w:val="24"/>
          <w:lang w:val="es-ES_tradnl" w:eastAsia="es-PE"/>
        </w:rPr>
        <w:t xml:space="preserve">En términos epidemiológicos se registra una </w:t>
      </w:r>
      <w:r w:rsidR="00DD0E9F" w:rsidRPr="00A534BF">
        <w:rPr>
          <w:rFonts w:ascii="Times New Roman" w:hAnsi="Times New Roman" w:cs="Times New Roman"/>
          <w:sz w:val="24"/>
          <w:szCs w:val="24"/>
          <w:lang w:val="es-ES_tradnl" w:eastAsia="es-PE"/>
        </w:rPr>
        <w:t xml:space="preserve">triple </w:t>
      </w:r>
      <w:r w:rsidRPr="00A534BF">
        <w:rPr>
          <w:rFonts w:ascii="Times New Roman" w:hAnsi="Times New Roman" w:cs="Times New Roman"/>
          <w:sz w:val="24"/>
          <w:szCs w:val="24"/>
          <w:lang w:val="es-ES_tradnl" w:eastAsia="es-PE"/>
        </w:rPr>
        <w:t xml:space="preserve">carga de enfermedad. No habiendo superado la mortalidad ocasionada por </w:t>
      </w:r>
      <w:r w:rsidR="00DD0E9F" w:rsidRPr="00A534BF">
        <w:rPr>
          <w:rFonts w:ascii="Times New Roman" w:hAnsi="Times New Roman" w:cs="Times New Roman"/>
          <w:sz w:val="24"/>
          <w:szCs w:val="24"/>
          <w:lang w:val="es-ES_tradnl" w:eastAsia="es-PE"/>
        </w:rPr>
        <w:t xml:space="preserve">enfermedades </w:t>
      </w:r>
      <w:r w:rsidRPr="00A534BF">
        <w:rPr>
          <w:rFonts w:ascii="Times New Roman" w:hAnsi="Times New Roman" w:cs="Times New Roman"/>
          <w:sz w:val="24"/>
          <w:szCs w:val="24"/>
          <w:lang w:val="es-ES_tradnl" w:eastAsia="es-PE"/>
        </w:rPr>
        <w:t>infecciosas y la desnutrición, se observa un incremento en la prevalencia de enfermedades crónico degenerativas</w:t>
      </w:r>
      <w:r w:rsidR="00DD0E9F" w:rsidRPr="00A534BF">
        <w:rPr>
          <w:rFonts w:ascii="Times New Roman" w:hAnsi="Times New Roman" w:cs="Times New Roman"/>
          <w:sz w:val="24"/>
          <w:szCs w:val="24"/>
          <w:lang w:val="es-ES_tradnl" w:eastAsia="es-PE"/>
        </w:rPr>
        <w:t xml:space="preserve"> y de las causas externas</w:t>
      </w:r>
      <w:r w:rsidRPr="00A534BF">
        <w:rPr>
          <w:rFonts w:ascii="Times New Roman" w:hAnsi="Times New Roman" w:cs="Times New Roman"/>
          <w:sz w:val="24"/>
          <w:szCs w:val="24"/>
          <w:lang w:val="es-ES_tradnl" w:eastAsia="es-PE"/>
        </w:rPr>
        <w:t xml:space="preserve">. En el cuadro </w:t>
      </w:r>
      <w:proofErr w:type="spellStart"/>
      <w:r w:rsidRPr="00A534BF">
        <w:rPr>
          <w:rFonts w:ascii="Times New Roman" w:hAnsi="Times New Roman" w:cs="Times New Roman"/>
          <w:sz w:val="24"/>
          <w:szCs w:val="24"/>
          <w:lang w:val="es-ES_tradnl" w:eastAsia="es-PE"/>
        </w:rPr>
        <w:t>N</w:t>
      </w:r>
      <w:r w:rsidRPr="00A534BF">
        <w:rPr>
          <w:rFonts w:ascii="Times New Roman" w:hAnsi="Times New Roman" w:cs="Times New Roman"/>
          <w:sz w:val="24"/>
          <w:szCs w:val="24"/>
          <w:vertAlign w:val="superscript"/>
          <w:lang w:val="es-ES_tradnl" w:eastAsia="es-PE"/>
        </w:rPr>
        <w:t>ro</w:t>
      </w:r>
      <w:proofErr w:type="spellEnd"/>
      <w:r w:rsidRPr="00A534BF">
        <w:rPr>
          <w:rFonts w:ascii="Times New Roman" w:hAnsi="Times New Roman" w:cs="Times New Roman"/>
          <w:sz w:val="24"/>
          <w:szCs w:val="24"/>
          <w:lang w:val="es-ES_tradnl" w:eastAsia="es-PE"/>
        </w:rPr>
        <w:t xml:space="preserve"> 3 a continuación se han presentado las cinco principales causas de muerte en los Estados Parte del MERCOSUR.</w:t>
      </w:r>
    </w:p>
    <w:p w14:paraId="7996C7E6" w14:textId="77777777" w:rsidR="009C56E7" w:rsidRPr="00A534BF" w:rsidRDefault="009C56E7" w:rsidP="00F30204">
      <w:pPr>
        <w:jc w:val="both"/>
        <w:rPr>
          <w:rFonts w:ascii="Times New Roman" w:hAnsi="Times New Roman" w:cs="Times New Roman"/>
          <w:sz w:val="24"/>
          <w:szCs w:val="24"/>
          <w:lang w:val="es-ES_tradnl"/>
        </w:rPr>
      </w:pPr>
      <w:r w:rsidRPr="00A534BF">
        <w:rPr>
          <w:rFonts w:ascii="Times New Roman" w:hAnsi="Times New Roman" w:cs="Times New Roman"/>
          <w:sz w:val="24"/>
          <w:szCs w:val="24"/>
          <w:lang w:val="es-ES_tradnl"/>
        </w:rPr>
        <w:t>Cuadro N</w:t>
      </w:r>
      <w:r w:rsidRPr="00A534BF">
        <w:rPr>
          <w:rFonts w:ascii="Times New Roman" w:hAnsi="Times New Roman" w:cs="Times New Roman"/>
          <w:sz w:val="24"/>
          <w:szCs w:val="24"/>
          <w:vertAlign w:val="superscript"/>
          <w:lang w:val="es-ES_tradnl"/>
        </w:rPr>
        <w:t xml:space="preserve">ro. </w:t>
      </w:r>
      <w:r w:rsidRPr="00A534BF">
        <w:rPr>
          <w:rFonts w:ascii="Times New Roman" w:hAnsi="Times New Roman" w:cs="Times New Roman"/>
          <w:sz w:val="24"/>
          <w:szCs w:val="24"/>
          <w:lang w:val="es-ES_tradnl"/>
        </w:rPr>
        <w:t>3: Estados Parte del MERCOSUR - Cinco Principales Causas de Muerte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1436"/>
        <w:gridCol w:w="1371"/>
        <w:gridCol w:w="1436"/>
        <w:gridCol w:w="1436"/>
        <w:gridCol w:w="1436"/>
      </w:tblGrid>
      <w:tr w:rsidR="009C56E7" w:rsidRPr="00A534BF" w14:paraId="6D9BEB37" w14:textId="77777777" w:rsidTr="00547063">
        <w:tc>
          <w:tcPr>
            <w:tcW w:w="1439" w:type="dxa"/>
            <w:shd w:val="clear" w:color="auto" w:fill="C0C0C0"/>
          </w:tcPr>
          <w:p w14:paraId="287FCE13" w14:textId="77777777" w:rsidR="009C56E7" w:rsidRPr="00A534BF" w:rsidRDefault="009C56E7" w:rsidP="00A534BF">
            <w:pPr>
              <w:jc w:val="center"/>
              <w:rPr>
                <w:rFonts w:ascii="Times New Roman" w:hAnsi="Times New Roman" w:cs="Times New Roman"/>
                <w:sz w:val="20"/>
                <w:szCs w:val="20"/>
                <w:lang w:val="es-ES_tradnl"/>
              </w:rPr>
            </w:pPr>
          </w:p>
          <w:p w14:paraId="4A116AC5"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Argentina</w:t>
            </w:r>
          </w:p>
        </w:tc>
        <w:tc>
          <w:tcPr>
            <w:tcW w:w="1451" w:type="dxa"/>
            <w:shd w:val="clear" w:color="auto" w:fill="FFFF00"/>
          </w:tcPr>
          <w:p w14:paraId="1939E66E"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Enfermedades del Sistema Circulatorio 28%</w:t>
            </w:r>
          </w:p>
        </w:tc>
        <w:tc>
          <w:tcPr>
            <w:tcW w:w="1440" w:type="dxa"/>
            <w:shd w:val="clear" w:color="auto" w:fill="FF00FF"/>
          </w:tcPr>
          <w:p w14:paraId="5D49BBC9"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Neoplasia</w:t>
            </w:r>
          </w:p>
          <w:p w14:paraId="70B60634"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20%</w:t>
            </w:r>
          </w:p>
        </w:tc>
        <w:tc>
          <w:tcPr>
            <w:tcW w:w="1451" w:type="dxa"/>
            <w:shd w:val="clear" w:color="auto" w:fill="00FFFF"/>
          </w:tcPr>
          <w:p w14:paraId="1218E038"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Enfermedades del Sistema Respiratorio</w:t>
            </w:r>
          </w:p>
          <w:p w14:paraId="5F5E8A66"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17%</w:t>
            </w:r>
          </w:p>
        </w:tc>
        <w:tc>
          <w:tcPr>
            <w:tcW w:w="1451" w:type="dxa"/>
            <w:shd w:val="clear" w:color="auto" w:fill="00FF00"/>
          </w:tcPr>
          <w:p w14:paraId="48F064E3"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Síntomas, Signos y Hallazgos Clasificados en otra parte 7%</w:t>
            </w:r>
          </w:p>
        </w:tc>
        <w:tc>
          <w:tcPr>
            <w:tcW w:w="1451" w:type="dxa"/>
            <w:shd w:val="clear" w:color="auto" w:fill="FF6600"/>
          </w:tcPr>
          <w:p w14:paraId="495B3FA4"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Causas Externas</w:t>
            </w:r>
          </w:p>
          <w:p w14:paraId="4CA554FD"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6%</w:t>
            </w:r>
          </w:p>
          <w:p w14:paraId="7DBA42A7" w14:textId="77777777" w:rsidR="009C56E7" w:rsidRPr="00A534BF" w:rsidRDefault="009C56E7" w:rsidP="00A534BF">
            <w:pPr>
              <w:jc w:val="center"/>
              <w:rPr>
                <w:rFonts w:ascii="Times New Roman" w:hAnsi="Times New Roman" w:cs="Times New Roman"/>
                <w:sz w:val="20"/>
                <w:szCs w:val="20"/>
                <w:lang w:val="es-ES_tradnl"/>
              </w:rPr>
            </w:pPr>
          </w:p>
        </w:tc>
      </w:tr>
      <w:tr w:rsidR="009C56E7" w:rsidRPr="00641EE6" w14:paraId="41243135" w14:textId="77777777" w:rsidTr="00547063">
        <w:tc>
          <w:tcPr>
            <w:tcW w:w="1439" w:type="dxa"/>
            <w:shd w:val="clear" w:color="auto" w:fill="C0C0C0"/>
          </w:tcPr>
          <w:p w14:paraId="119B8236" w14:textId="77777777" w:rsidR="009C56E7" w:rsidRPr="00A534BF" w:rsidRDefault="009C56E7" w:rsidP="00A534BF">
            <w:pPr>
              <w:jc w:val="center"/>
              <w:rPr>
                <w:rFonts w:ascii="Times New Roman" w:hAnsi="Times New Roman" w:cs="Times New Roman"/>
                <w:sz w:val="20"/>
                <w:szCs w:val="20"/>
                <w:lang w:val="es-ES_tradnl"/>
              </w:rPr>
            </w:pPr>
          </w:p>
          <w:p w14:paraId="15DF1462"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Brasil</w:t>
            </w:r>
          </w:p>
        </w:tc>
        <w:tc>
          <w:tcPr>
            <w:tcW w:w="1451" w:type="dxa"/>
            <w:shd w:val="clear" w:color="auto" w:fill="FFFF00"/>
          </w:tcPr>
          <w:p w14:paraId="2A1DA103"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Enfermedades del Sistema Circulatorio 28%</w:t>
            </w:r>
          </w:p>
        </w:tc>
        <w:tc>
          <w:tcPr>
            <w:tcW w:w="1440" w:type="dxa"/>
            <w:shd w:val="clear" w:color="auto" w:fill="FF00FF"/>
          </w:tcPr>
          <w:p w14:paraId="4DB6A66A"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Neoplasia</w:t>
            </w:r>
          </w:p>
          <w:p w14:paraId="731AFE6E"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16%</w:t>
            </w:r>
          </w:p>
        </w:tc>
        <w:tc>
          <w:tcPr>
            <w:tcW w:w="1451" w:type="dxa"/>
            <w:shd w:val="clear" w:color="auto" w:fill="FF6600"/>
          </w:tcPr>
          <w:p w14:paraId="6D9FBE90"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Causas Externas</w:t>
            </w:r>
          </w:p>
          <w:p w14:paraId="245E9D37"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13%</w:t>
            </w:r>
          </w:p>
        </w:tc>
        <w:tc>
          <w:tcPr>
            <w:tcW w:w="1451" w:type="dxa"/>
            <w:shd w:val="clear" w:color="auto" w:fill="00FFFF"/>
          </w:tcPr>
          <w:p w14:paraId="5CC2070B"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Enfermedades del Sistema Respiratorio</w:t>
            </w:r>
          </w:p>
          <w:p w14:paraId="1A951674"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11%</w:t>
            </w:r>
          </w:p>
        </w:tc>
        <w:tc>
          <w:tcPr>
            <w:tcW w:w="1451" w:type="dxa"/>
            <w:shd w:val="clear" w:color="auto" w:fill="666699"/>
          </w:tcPr>
          <w:p w14:paraId="648B115E"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Enfermedades Endocrinas, Nutricionales y Metabólicas</w:t>
            </w:r>
          </w:p>
          <w:p w14:paraId="462629F3"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6%</w:t>
            </w:r>
          </w:p>
        </w:tc>
      </w:tr>
      <w:tr w:rsidR="009C56E7" w:rsidRPr="00641EE6" w14:paraId="0E856CF4" w14:textId="77777777" w:rsidTr="00547063">
        <w:tc>
          <w:tcPr>
            <w:tcW w:w="1439" w:type="dxa"/>
            <w:shd w:val="clear" w:color="auto" w:fill="C0C0C0"/>
          </w:tcPr>
          <w:p w14:paraId="2480A79B" w14:textId="77777777" w:rsidR="009C56E7" w:rsidRPr="00A534BF" w:rsidRDefault="009C56E7" w:rsidP="00A534BF">
            <w:pPr>
              <w:jc w:val="center"/>
              <w:rPr>
                <w:rFonts w:ascii="Times New Roman" w:hAnsi="Times New Roman" w:cs="Times New Roman"/>
                <w:sz w:val="20"/>
                <w:szCs w:val="20"/>
                <w:lang w:val="es-ES_tradnl"/>
              </w:rPr>
            </w:pPr>
          </w:p>
          <w:p w14:paraId="76AAA79E"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Paraguay</w:t>
            </w:r>
          </w:p>
        </w:tc>
        <w:tc>
          <w:tcPr>
            <w:tcW w:w="1451" w:type="dxa"/>
            <w:shd w:val="clear" w:color="auto" w:fill="FFFF00"/>
          </w:tcPr>
          <w:p w14:paraId="0BED4F17"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Enfermedades del Sistema Circulatorio 25%</w:t>
            </w:r>
          </w:p>
        </w:tc>
        <w:tc>
          <w:tcPr>
            <w:tcW w:w="1440" w:type="dxa"/>
            <w:shd w:val="clear" w:color="auto" w:fill="FF00FF"/>
          </w:tcPr>
          <w:p w14:paraId="29FFCE0B"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Neoplasia</w:t>
            </w:r>
          </w:p>
          <w:p w14:paraId="559047AC"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15%</w:t>
            </w:r>
          </w:p>
        </w:tc>
        <w:tc>
          <w:tcPr>
            <w:tcW w:w="1451" w:type="dxa"/>
            <w:shd w:val="clear" w:color="auto" w:fill="FF6600"/>
          </w:tcPr>
          <w:p w14:paraId="1B1A7CDC"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Causas Externas</w:t>
            </w:r>
          </w:p>
          <w:p w14:paraId="6234C28F"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14%</w:t>
            </w:r>
          </w:p>
        </w:tc>
        <w:tc>
          <w:tcPr>
            <w:tcW w:w="1451" w:type="dxa"/>
            <w:shd w:val="clear" w:color="auto" w:fill="CCFFCC"/>
          </w:tcPr>
          <w:p w14:paraId="1D18E276"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Síntomas, Signos y Hallazgos Clasificados en otra parte 11%</w:t>
            </w:r>
          </w:p>
        </w:tc>
        <w:tc>
          <w:tcPr>
            <w:tcW w:w="1451" w:type="dxa"/>
            <w:shd w:val="clear" w:color="auto" w:fill="666699"/>
          </w:tcPr>
          <w:p w14:paraId="5EB47BAB"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Enfermedades Endocrinas, Nutricionales y Metabólicas</w:t>
            </w:r>
          </w:p>
          <w:p w14:paraId="4CF92ECE"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11%</w:t>
            </w:r>
          </w:p>
        </w:tc>
      </w:tr>
      <w:tr w:rsidR="009C56E7" w:rsidRPr="00A534BF" w14:paraId="7302CFBC" w14:textId="77777777" w:rsidTr="00547063">
        <w:tc>
          <w:tcPr>
            <w:tcW w:w="1439" w:type="dxa"/>
            <w:shd w:val="clear" w:color="auto" w:fill="C0C0C0"/>
          </w:tcPr>
          <w:p w14:paraId="2FB1977F" w14:textId="77777777" w:rsidR="009C56E7" w:rsidRPr="00A534BF" w:rsidRDefault="009C56E7" w:rsidP="00A534BF">
            <w:pPr>
              <w:jc w:val="center"/>
              <w:rPr>
                <w:rFonts w:ascii="Times New Roman" w:hAnsi="Times New Roman" w:cs="Times New Roman"/>
                <w:sz w:val="20"/>
                <w:szCs w:val="20"/>
                <w:lang w:val="es-ES_tradnl"/>
              </w:rPr>
            </w:pPr>
          </w:p>
          <w:p w14:paraId="4B0DA838"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Uruguay</w:t>
            </w:r>
          </w:p>
        </w:tc>
        <w:tc>
          <w:tcPr>
            <w:tcW w:w="1451" w:type="dxa"/>
            <w:shd w:val="clear" w:color="auto" w:fill="FFFF00"/>
          </w:tcPr>
          <w:p w14:paraId="65FB5850"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Enfermedades del Sistema Circulatorio</w:t>
            </w:r>
          </w:p>
          <w:p w14:paraId="7677EB72"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27%</w:t>
            </w:r>
          </w:p>
        </w:tc>
        <w:tc>
          <w:tcPr>
            <w:tcW w:w="1440" w:type="dxa"/>
            <w:shd w:val="clear" w:color="auto" w:fill="FF00FF"/>
          </w:tcPr>
          <w:p w14:paraId="71907450"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Neoplasia</w:t>
            </w:r>
          </w:p>
          <w:p w14:paraId="4DCB23A9"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25%</w:t>
            </w:r>
          </w:p>
        </w:tc>
        <w:tc>
          <w:tcPr>
            <w:tcW w:w="1451" w:type="dxa"/>
            <w:shd w:val="clear" w:color="auto" w:fill="00FFFF"/>
          </w:tcPr>
          <w:p w14:paraId="0523FB51"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Enfermedades del Sistema Respiratorio</w:t>
            </w:r>
          </w:p>
          <w:p w14:paraId="506CFBA3"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10%</w:t>
            </w:r>
          </w:p>
        </w:tc>
        <w:tc>
          <w:tcPr>
            <w:tcW w:w="1451" w:type="dxa"/>
            <w:shd w:val="clear" w:color="auto" w:fill="CCFFCC"/>
          </w:tcPr>
          <w:p w14:paraId="7FFE724E"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Síntomas, Signos y Hallazgos Clasificados en otra parte 9%</w:t>
            </w:r>
          </w:p>
        </w:tc>
        <w:tc>
          <w:tcPr>
            <w:tcW w:w="1451" w:type="dxa"/>
            <w:shd w:val="clear" w:color="auto" w:fill="FF6600"/>
          </w:tcPr>
          <w:p w14:paraId="5F740F39"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Causas Externas</w:t>
            </w:r>
          </w:p>
          <w:p w14:paraId="0278E556"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7%</w:t>
            </w:r>
          </w:p>
        </w:tc>
      </w:tr>
      <w:tr w:rsidR="009C56E7" w:rsidRPr="00A534BF" w14:paraId="5AEAB345" w14:textId="77777777" w:rsidTr="00547063">
        <w:tc>
          <w:tcPr>
            <w:tcW w:w="1439" w:type="dxa"/>
            <w:shd w:val="clear" w:color="auto" w:fill="C0C0C0"/>
          </w:tcPr>
          <w:p w14:paraId="4DE841AE" w14:textId="77777777" w:rsidR="009C56E7" w:rsidRPr="00A534BF" w:rsidRDefault="009C56E7" w:rsidP="00A534BF">
            <w:pPr>
              <w:jc w:val="center"/>
              <w:rPr>
                <w:rFonts w:ascii="Times New Roman" w:hAnsi="Times New Roman" w:cs="Times New Roman"/>
                <w:sz w:val="20"/>
                <w:szCs w:val="20"/>
                <w:lang w:val="es-ES_tradnl"/>
              </w:rPr>
            </w:pPr>
          </w:p>
          <w:p w14:paraId="622C8DA5"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Venezuela</w:t>
            </w:r>
          </w:p>
        </w:tc>
        <w:tc>
          <w:tcPr>
            <w:tcW w:w="1451" w:type="dxa"/>
            <w:shd w:val="clear" w:color="auto" w:fill="FFFF00"/>
          </w:tcPr>
          <w:p w14:paraId="6242E02F"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Enfermedades del Sistema Circulatorio</w:t>
            </w:r>
          </w:p>
          <w:p w14:paraId="3A9F64D5"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30%</w:t>
            </w:r>
          </w:p>
        </w:tc>
        <w:tc>
          <w:tcPr>
            <w:tcW w:w="1440" w:type="dxa"/>
            <w:shd w:val="clear" w:color="auto" w:fill="FF6600"/>
          </w:tcPr>
          <w:p w14:paraId="0FEC1F97"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Causas Externas</w:t>
            </w:r>
          </w:p>
          <w:p w14:paraId="7084A005"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19%</w:t>
            </w:r>
          </w:p>
        </w:tc>
        <w:tc>
          <w:tcPr>
            <w:tcW w:w="1451" w:type="dxa"/>
            <w:shd w:val="clear" w:color="auto" w:fill="FF00FF"/>
          </w:tcPr>
          <w:p w14:paraId="2AFBDA8D"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Neoplasia</w:t>
            </w:r>
          </w:p>
          <w:p w14:paraId="1AFC1B15"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25%</w:t>
            </w:r>
          </w:p>
        </w:tc>
        <w:tc>
          <w:tcPr>
            <w:tcW w:w="1451" w:type="dxa"/>
            <w:shd w:val="clear" w:color="auto" w:fill="666699"/>
          </w:tcPr>
          <w:p w14:paraId="54A7AF86"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Enfermedades Endocrinas, Nutricionales y Metabólicas</w:t>
            </w:r>
          </w:p>
          <w:p w14:paraId="400578AD"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8%</w:t>
            </w:r>
          </w:p>
        </w:tc>
        <w:tc>
          <w:tcPr>
            <w:tcW w:w="1451" w:type="dxa"/>
            <w:shd w:val="clear" w:color="auto" w:fill="00FFFF"/>
          </w:tcPr>
          <w:p w14:paraId="2CF36C40"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Enfermedades del Sistema Respiratorio</w:t>
            </w:r>
          </w:p>
          <w:p w14:paraId="118CA034" w14:textId="77777777" w:rsidR="009C56E7" w:rsidRPr="00A534BF" w:rsidRDefault="009C56E7" w:rsidP="00A534BF">
            <w:pPr>
              <w:jc w:val="center"/>
              <w:rPr>
                <w:rFonts w:ascii="Times New Roman" w:hAnsi="Times New Roman" w:cs="Times New Roman"/>
                <w:sz w:val="20"/>
                <w:szCs w:val="20"/>
                <w:lang w:val="es-ES_tradnl"/>
              </w:rPr>
            </w:pPr>
            <w:r w:rsidRPr="00A534BF">
              <w:rPr>
                <w:rFonts w:ascii="Times New Roman" w:hAnsi="Times New Roman" w:cs="Times New Roman"/>
                <w:sz w:val="20"/>
                <w:szCs w:val="20"/>
                <w:lang w:val="es-ES_tradnl"/>
              </w:rPr>
              <w:t>7%</w:t>
            </w:r>
          </w:p>
        </w:tc>
      </w:tr>
    </w:tbl>
    <w:p w14:paraId="78EC49BC" w14:textId="77777777" w:rsidR="009C56E7" w:rsidRPr="00A534BF" w:rsidRDefault="009C56E7" w:rsidP="00F30204">
      <w:pPr>
        <w:jc w:val="both"/>
        <w:rPr>
          <w:rFonts w:ascii="Times New Roman" w:hAnsi="Times New Roman" w:cs="Times New Roman"/>
          <w:sz w:val="24"/>
          <w:szCs w:val="24"/>
          <w:lang w:val="es-ES_tradnl"/>
        </w:rPr>
      </w:pPr>
      <w:r w:rsidRPr="00A534BF">
        <w:rPr>
          <w:rFonts w:ascii="Times New Roman" w:hAnsi="Times New Roman" w:cs="Times New Roman"/>
          <w:sz w:val="24"/>
          <w:szCs w:val="24"/>
          <w:lang w:val="es-ES_tradnl"/>
        </w:rPr>
        <w:t>Fuente: Construcción propia a partir de Informe de Salud de las Américas 2017</w:t>
      </w:r>
    </w:p>
    <w:p w14:paraId="1BD5B22D" w14:textId="77777777" w:rsidR="009C56E7" w:rsidRPr="00A534BF" w:rsidRDefault="009C56E7" w:rsidP="00F30204">
      <w:pPr>
        <w:jc w:val="both"/>
        <w:rPr>
          <w:rFonts w:ascii="Times New Roman" w:hAnsi="Times New Roman" w:cs="Times New Roman"/>
          <w:sz w:val="24"/>
          <w:szCs w:val="24"/>
          <w:lang w:val="es-ES_tradnl" w:eastAsia="es-PE"/>
        </w:rPr>
      </w:pPr>
    </w:p>
    <w:p w14:paraId="70212C01" w14:textId="5F82E525" w:rsidR="00C23D80" w:rsidRPr="00A534BF" w:rsidRDefault="00C23D80" w:rsidP="00F30204">
      <w:pPr>
        <w:jc w:val="both"/>
        <w:rPr>
          <w:rFonts w:ascii="Times New Roman" w:hAnsi="Times New Roman" w:cs="Times New Roman"/>
          <w:sz w:val="24"/>
          <w:szCs w:val="24"/>
          <w:lang w:val="es-AR"/>
        </w:rPr>
      </w:pPr>
      <w:r w:rsidRPr="00A534BF">
        <w:rPr>
          <w:rFonts w:ascii="Times New Roman" w:hAnsi="Times New Roman" w:cs="Times New Roman"/>
          <w:sz w:val="24"/>
          <w:szCs w:val="24"/>
          <w:lang w:val="es-AR"/>
        </w:rPr>
        <w:t>As</w:t>
      </w:r>
      <w:r w:rsidR="007A24A0" w:rsidRPr="00A534BF">
        <w:rPr>
          <w:rFonts w:ascii="Times New Roman" w:hAnsi="Times New Roman" w:cs="Times New Roman"/>
          <w:sz w:val="24"/>
          <w:szCs w:val="24"/>
          <w:lang w:val="es-AR"/>
        </w:rPr>
        <w:t>i</w:t>
      </w:r>
      <w:r w:rsidRPr="00A534BF">
        <w:rPr>
          <w:rFonts w:ascii="Times New Roman" w:hAnsi="Times New Roman" w:cs="Times New Roman"/>
          <w:sz w:val="24"/>
          <w:szCs w:val="24"/>
          <w:lang w:val="es-AR"/>
        </w:rPr>
        <w:t>mismos los Estados parte del MERCOSUR presentan factores de riesgo que facilitan la presencia de las ECNT, como podemo</w:t>
      </w:r>
      <w:r w:rsidR="003B74A4">
        <w:rPr>
          <w:rFonts w:ascii="Times New Roman" w:hAnsi="Times New Roman" w:cs="Times New Roman"/>
          <w:sz w:val="24"/>
          <w:szCs w:val="24"/>
          <w:lang w:val="es-AR"/>
        </w:rPr>
        <w:t>s ver en el Cuadro a continuació</w:t>
      </w:r>
      <w:r w:rsidRPr="00A534BF">
        <w:rPr>
          <w:rFonts w:ascii="Times New Roman" w:hAnsi="Times New Roman" w:cs="Times New Roman"/>
          <w:sz w:val="24"/>
          <w:szCs w:val="24"/>
          <w:lang w:val="es-AR"/>
        </w:rPr>
        <w:t>n.</w:t>
      </w:r>
    </w:p>
    <w:p w14:paraId="43A22364" w14:textId="77777777" w:rsidR="00C23D80" w:rsidRPr="00A534BF" w:rsidRDefault="00C23D80" w:rsidP="00A534BF">
      <w:pPr>
        <w:jc w:val="center"/>
        <w:rPr>
          <w:rFonts w:ascii="Times New Roman" w:hAnsi="Times New Roman" w:cs="Times New Roman"/>
          <w:b/>
          <w:sz w:val="24"/>
          <w:szCs w:val="24"/>
          <w:lang w:val="es-AR"/>
        </w:rPr>
      </w:pPr>
      <w:r w:rsidRPr="00A534BF">
        <w:rPr>
          <w:rFonts w:ascii="Times New Roman" w:hAnsi="Times New Roman" w:cs="Times New Roman"/>
          <w:b/>
          <w:sz w:val="24"/>
          <w:szCs w:val="24"/>
          <w:lang w:val="es-AR"/>
        </w:rPr>
        <w:lastRenderedPageBreak/>
        <w:t>Cuadro N</w:t>
      </w:r>
      <w:r w:rsidRPr="00A534BF">
        <w:rPr>
          <w:rFonts w:ascii="Times New Roman" w:hAnsi="Times New Roman" w:cs="Times New Roman"/>
          <w:b/>
          <w:sz w:val="24"/>
          <w:szCs w:val="24"/>
          <w:vertAlign w:val="superscript"/>
          <w:lang w:val="es-AR"/>
        </w:rPr>
        <w:t>ro</w:t>
      </w:r>
      <w:r w:rsidRPr="00A534BF">
        <w:rPr>
          <w:rFonts w:ascii="Times New Roman" w:hAnsi="Times New Roman" w:cs="Times New Roman"/>
          <w:b/>
          <w:sz w:val="24"/>
          <w:szCs w:val="24"/>
          <w:lang w:val="es-AR"/>
        </w:rPr>
        <w:t xml:space="preserve"> 4-  Factores de Riesgo para las ECNT en los Estados Partes del MERCOSUR</w:t>
      </w:r>
    </w:p>
    <w:tbl>
      <w:tblPr>
        <w:tblStyle w:val="Tablaconcuadrcula"/>
        <w:tblW w:w="8500" w:type="dxa"/>
        <w:tblLayout w:type="fixed"/>
        <w:tblLook w:val="04A0" w:firstRow="1" w:lastRow="0" w:firstColumn="1" w:lastColumn="0" w:noHBand="0" w:noVBand="1"/>
      </w:tblPr>
      <w:tblGrid>
        <w:gridCol w:w="1555"/>
        <w:gridCol w:w="1701"/>
        <w:gridCol w:w="1417"/>
        <w:gridCol w:w="1276"/>
        <w:gridCol w:w="1276"/>
        <w:gridCol w:w="1275"/>
      </w:tblGrid>
      <w:tr w:rsidR="00C23D80" w:rsidRPr="00A534BF" w14:paraId="238A00F8" w14:textId="77777777" w:rsidTr="00547063">
        <w:trPr>
          <w:trHeight w:val="533"/>
        </w:trPr>
        <w:tc>
          <w:tcPr>
            <w:tcW w:w="1555" w:type="dxa"/>
            <w:shd w:val="clear" w:color="auto" w:fill="000000" w:themeFill="text1"/>
          </w:tcPr>
          <w:p w14:paraId="3E348513"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Factores de Riesgo</w:t>
            </w:r>
          </w:p>
        </w:tc>
        <w:tc>
          <w:tcPr>
            <w:tcW w:w="1701" w:type="dxa"/>
            <w:shd w:val="clear" w:color="auto" w:fill="000000" w:themeFill="text1"/>
          </w:tcPr>
          <w:p w14:paraId="7FE20A42"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Argentina</w:t>
            </w:r>
          </w:p>
        </w:tc>
        <w:tc>
          <w:tcPr>
            <w:tcW w:w="1417" w:type="dxa"/>
            <w:shd w:val="clear" w:color="auto" w:fill="000000" w:themeFill="text1"/>
          </w:tcPr>
          <w:p w14:paraId="1DB07672"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Brasil</w:t>
            </w:r>
          </w:p>
        </w:tc>
        <w:tc>
          <w:tcPr>
            <w:tcW w:w="1276" w:type="dxa"/>
            <w:shd w:val="clear" w:color="auto" w:fill="000000" w:themeFill="text1"/>
          </w:tcPr>
          <w:p w14:paraId="15BCBF9E"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Paraguay</w:t>
            </w:r>
          </w:p>
        </w:tc>
        <w:tc>
          <w:tcPr>
            <w:tcW w:w="1276" w:type="dxa"/>
            <w:shd w:val="clear" w:color="auto" w:fill="000000" w:themeFill="text1"/>
          </w:tcPr>
          <w:p w14:paraId="050FDFD4"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Uruguay</w:t>
            </w:r>
          </w:p>
        </w:tc>
        <w:tc>
          <w:tcPr>
            <w:tcW w:w="1275" w:type="dxa"/>
            <w:shd w:val="clear" w:color="auto" w:fill="000000" w:themeFill="text1"/>
          </w:tcPr>
          <w:p w14:paraId="4D0A69CF"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Venezuela</w:t>
            </w:r>
          </w:p>
        </w:tc>
      </w:tr>
      <w:tr w:rsidR="00C23D80" w:rsidRPr="00A534BF" w14:paraId="6E3B0D4F" w14:textId="77777777" w:rsidTr="00547063">
        <w:tc>
          <w:tcPr>
            <w:tcW w:w="1555" w:type="dxa"/>
          </w:tcPr>
          <w:p w14:paraId="0053EA9C" w14:textId="77777777" w:rsidR="00C23D80" w:rsidRPr="00A534BF" w:rsidRDefault="00C23D80" w:rsidP="00A534BF">
            <w:pPr>
              <w:jc w:val="center"/>
              <w:rPr>
                <w:rFonts w:ascii="Times New Roman" w:hAnsi="Times New Roman" w:cs="Times New Roman"/>
                <w:color w:val="222222"/>
                <w:sz w:val="20"/>
                <w:szCs w:val="20"/>
                <w:lang w:val="es-ES"/>
              </w:rPr>
            </w:pPr>
            <w:r w:rsidRPr="00A534BF">
              <w:rPr>
                <w:rFonts w:ascii="Times New Roman" w:hAnsi="Times New Roman" w:cs="Times New Roman"/>
                <w:sz w:val="20"/>
                <w:szCs w:val="20"/>
                <w:lang w:val="es-AR"/>
              </w:rPr>
              <w:t>Tabaquismo Actual (2011)</w:t>
            </w:r>
          </w:p>
        </w:tc>
        <w:tc>
          <w:tcPr>
            <w:tcW w:w="1701" w:type="dxa"/>
          </w:tcPr>
          <w:p w14:paraId="2E5C2536"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23 %</w:t>
            </w:r>
          </w:p>
        </w:tc>
        <w:tc>
          <w:tcPr>
            <w:tcW w:w="1417" w:type="dxa"/>
          </w:tcPr>
          <w:p w14:paraId="200C477C"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17 %</w:t>
            </w:r>
          </w:p>
        </w:tc>
        <w:tc>
          <w:tcPr>
            <w:tcW w:w="1276" w:type="dxa"/>
          </w:tcPr>
          <w:p w14:paraId="121F311F"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19 %</w:t>
            </w:r>
          </w:p>
        </w:tc>
        <w:tc>
          <w:tcPr>
            <w:tcW w:w="1276" w:type="dxa"/>
          </w:tcPr>
          <w:p w14:paraId="51AC3A44"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25 %</w:t>
            </w:r>
          </w:p>
        </w:tc>
        <w:tc>
          <w:tcPr>
            <w:tcW w:w="1275" w:type="dxa"/>
          </w:tcPr>
          <w:p w14:paraId="574431E5"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Sin datos</w:t>
            </w:r>
          </w:p>
        </w:tc>
      </w:tr>
      <w:tr w:rsidR="00C23D80" w:rsidRPr="00A534BF" w14:paraId="4019FA71" w14:textId="77777777" w:rsidTr="00547063">
        <w:tc>
          <w:tcPr>
            <w:tcW w:w="1555" w:type="dxa"/>
          </w:tcPr>
          <w:p w14:paraId="6A7A77D9"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color w:val="222222"/>
                <w:sz w:val="20"/>
                <w:szCs w:val="20"/>
                <w:lang w:val="es-ES"/>
              </w:rPr>
              <w:t>Consumo total de alcohol per cápita, en litros de alcohol puro (2010)</w:t>
            </w:r>
          </w:p>
        </w:tc>
        <w:tc>
          <w:tcPr>
            <w:tcW w:w="1701" w:type="dxa"/>
          </w:tcPr>
          <w:p w14:paraId="7754AC40"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9,3</w:t>
            </w:r>
          </w:p>
        </w:tc>
        <w:tc>
          <w:tcPr>
            <w:tcW w:w="1417" w:type="dxa"/>
          </w:tcPr>
          <w:p w14:paraId="06610D16"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8,7</w:t>
            </w:r>
          </w:p>
        </w:tc>
        <w:tc>
          <w:tcPr>
            <w:tcW w:w="1276" w:type="dxa"/>
          </w:tcPr>
          <w:p w14:paraId="543FC5F4"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8,8</w:t>
            </w:r>
          </w:p>
        </w:tc>
        <w:tc>
          <w:tcPr>
            <w:tcW w:w="1276" w:type="dxa"/>
          </w:tcPr>
          <w:p w14:paraId="2D9A0DFD"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7,6</w:t>
            </w:r>
          </w:p>
        </w:tc>
        <w:tc>
          <w:tcPr>
            <w:tcW w:w="1275" w:type="dxa"/>
          </w:tcPr>
          <w:p w14:paraId="0A176F6A"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8,90</w:t>
            </w:r>
          </w:p>
        </w:tc>
      </w:tr>
      <w:tr w:rsidR="00C23D80" w:rsidRPr="00A534BF" w14:paraId="463A7150" w14:textId="77777777" w:rsidTr="00547063">
        <w:tc>
          <w:tcPr>
            <w:tcW w:w="1555" w:type="dxa"/>
          </w:tcPr>
          <w:p w14:paraId="3FA99F16" w14:textId="77777777" w:rsidR="00C23D80" w:rsidRPr="00A534BF" w:rsidRDefault="00C23D80" w:rsidP="00A534BF">
            <w:pPr>
              <w:jc w:val="center"/>
              <w:rPr>
                <w:rFonts w:ascii="Times New Roman" w:hAnsi="Times New Roman" w:cs="Times New Roman"/>
                <w:color w:val="222222"/>
                <w:sz w:val="20"/>
                <w:szCs w:val="20"/>
                <w:lang w:val="es-ES"/>
              </w:rPr>
            </w:pPr>
            <w:r w:rsidRPr="00A534BF">
              <w:rPr>
                <w:rStyle w:val="shorttext"/>
                <w:rFonts w:ascii="Times New Roman" w:hAnsi="Times New Roman" w:cs="Times New Roman"/>
                <w:color w:val="222222"/>
                <w:sz w:val="20"/>
                <w:szCs w:val="20"/>
                <w:lang w:val="es-ES"/>
              </w:rPr>
              <w:t>Aumento de la presión arterial (2008)</w:t>
            </w:r>
          </w:p>
        </w:tc>
        <w:tc>
          <w:tcPr>
            <w:tcW w:w="1701" w:type="dxa"/>
          </w:tcPr>
          <w:p w14:paraId="6948E741"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25,1 %</w:t>
            </w:r>
          </w:p>
        </w:tc>
        <w:tc>
          <w:tcPr>
            <w:tcW w:w="1417" w:type="dxa"/>
          </w:tcPr>
          <w:p w14:paraId="2CDCA7C5"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30,8 %</w:t>
            </w:r>
          </w:p>
        </w:tc>
        <w:tc>
          <w:tcPr>
            <w:tcW w:w="1276" w:type="dxa"/>
          </w:tcPr>
          <w:p w14:paraId="281CED69"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27,3 %</w:t>
            </w:r>
          </w:p>
        </w:tc>
        <w:tc>
          <w:tcPr>
            <w:tcW w:w="1276" w:type="dxa"/>
          </w:tcPr>
          <w:p w14:paraId="78CC9B80"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35,1 %</w:t>
            </w:r>
          </w:p>
        </w:tc>
        <w:tc>
          <w:tcPr>
            <w:tcW w:w="1275" w:type="dxa"/>
          </w:tcPr>
          <w:p w14:paraId="5C766CD8"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28,7 %</w:t>
            </w:r>
          </w:p>
        </w:tc>
      </w:tr>
      <w:tr w:rsidR="00C23D80" w:rsidRPr="00A534BF" w14:paraId="28F37DDB" w14:textId="77777777" w:rsidTr="00547063">
        <w:tc>
          <w:tcPr>
            <w:tcW w:w="1555" w:type="dxa"/>
          </w:tcPr>
          <w:p w14:paraId="4B19D18B"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Obesidad (2008)</w:t>
            </w:r>
          </w:p>
        </w:tc>
        <w:tc>
          <w:tcPr>
            <w:tcW w:w="1701" w:type="dxa"/>
          </w:tcPr>
          <w:p w14:paraId="3888A647"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29,7 %</w:t>
            </w:r>
          </w:p>
        </w:tc>
        <w:tc>
          <w:tcPr>
            <w:tcW w:w="1417" w:type="dxa"/>
          </w:tcPr>
          <w:p w14:paraId="6D5FB108"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18,8 %</w:t>
            </w:r>
          </w:p>
        </w:tc>
        <w:tc>
          <w:tcPr>
            <w:tcW w:w="1276" w:type="dxa"/>
          </w:tcPr>
          <w:p w14:paraId="0B176570"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17,9 %</w:t>
            </w:r>
          </w:p>
        </w:tc>
        <w:tc>
          <w:tcPr>
            <w:tcW w:w="1276" w:type="dxa"/>
          </w:tcPr>
          <w:p w14:paraId="1B9B31F6"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24,8 %</w:t>
            </w:r>
          </w:p>
        </w:tc>
        <w:tc>
          <w:tcPr>
            <w:tcW w:w="1275" w:type="dxa"/>
          </w:tcPr>
          <w:p w14:paraId="2BD86DA8" w14:textId="77777777" w:rsidR="00C23D80" w:rsidRPr="00A534BF" w:rsidRDefault="00C23D80"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30,3 %</w:t>
            </w:r>
          </w:p>
        </w:tc>
      </w:tr>
    </w:tbl>
    <w:p w14:paraId="202FFA66" w14:textId="77777777" w:rsidR="00C23D80" w:rsidRPr="00A534BF" w:rsidRDefault="00C23D80" w:rsidP="00F30204">
      <w:pPr>
        <w:jc w:val="both"/>
        <w:rPr>
          <w:rStyle w:val="shorttext"/>
          <w:rFonts w:ascii="Times New Roman" w:hAnsi="Times New Roman" w:cs="Times New Roman"/>
          <w:color w:val="222222"/>
          <w:sz w:val="20"/>
          <w:szCs w:val="20"/>
          <w:lang w:val="es-ES"/>
        </w:rPr>
      </w:pPr>
      <w:r w:rsidRPr="00A534BF">
        <w:rPr>
          <w:rStyle w:val="shorttext"/>
          <w:rFonts w:ascii="Times New Roman" w:hAnsi="Times New Roman" w:cs="Times New Roman"/>
          <w:color w:val="222222"/>
          <w:sz w:val="20"/>
          <w:szCs w:val="20"/>
          <w:lang w:val="es-ES"/>
        </w:rPr>
        <w:t xml:space="preserve">Fuente: </w:t>
      </w:r>
      <w:proofErr w:type="spellStart"/>
      <w:r w:rsidRPr="00A534BF">
        <w:rPr>
          <w:rStyle w:val="shorttext"/>
          <w:rFonts w:ascii="Times New Roman" w:hAnsi="Times New Roman" w:cs="Times New Roman"/>
          <w:color w:val="222222"/>
          <w:sz w:val="20"/>
          <w:szCs w:val="20"/>
          <w:lang w:val="es-ES"/>
        </w:rPr>
        <w:t>Construcciõn</w:t>
      </w:r>
      <w:proofErr w:type="spellEnd"/>
      <w:r w:rsidRPr="00A534BF">
        <w:rPr>
          <w:rStyle w:val="shorttext"/>
          <w:rFonts w:ascii="Times New Roman" w:hAnsi="Times New Roman" w:cs="Times New Roman"/>
          <w:color w:val="222222"/>
          <w:sz w:val="20"/>
          <w:szCs w:val="20"/>
          <w:lang w:val="es-ES"/>
        </w:rPr>
        <w:t xml:space="preserve"> propia a partir de </w:t>
      </w:r>
      <w:r w:rsidRPr="00A534BF">
        <w:rPr>
          <w:rFonts w:ascii="Times New Roman" w:hAnsi="Times New Roman" w:cs="Times New Roman"/>
          <w:sz w:val="20"/>
          <w:szCs w:val="20"/>
          <w:lang w:val="uz-Cyrl-UZ"/>
        </w:rPr>
        <w:t xml:space="preserve">Noncommunicable diseases country profiles 2014. Disponible en: </w:t>
      </w:r>
      <w:hyperlink r:id="rId10" w:history="1">
        <w:r w:rsidRPr="00A534BF">
          <w:rPr>
            <w:rStyle w:val="Hipervnculo"/>
            <w:rFonts w:ascii="Times New Roman" w:hAnsi="Times New Roman" w:cs="Times New Roman"/>
            <w:sz w:val="20"/>
            <w:szCs w:val="20"/>
            <w:lang w:val="uz-Cyrl-UZ"/>
          </w:rPr>
          <w:t>http://www.who.int/nmh/countries/en/</w:t>
        </w:r>
      </w:hyperlink>
      <w:r w:rsidRPr="00A534BF">
        <w:rPr>
          <w:rFonts w:ascii="Times New Roman" w:hAnsi="Times New Roman" w:cs="Times New Roman"/>
          <w:sz w:val="20"/>
          <w:szCs w:val="20"/>
          <w:lang w:val="uz-Cyrl-UZ"/>
        </w:rPr>
        <w:t xml:space="preserve"> Acceso 5 de Junio de 2018</w:t>
      </w:r>
    </w:p>
    <w:p w14:paraId="6BA5EB9A" w14:textId="77777777" w:rsidR="00C23D80" w:rsidRPr="00A534BF" w:rsidRDefault="00C23D80" w:rsidP="00F30204">
      <w:pPr>
        <w:jc w:val="both"/>
        <w:rPr>
          <w:rFonts w:ascii="Times New Roman" w:hAnsi="Times New Roman" w:cs="Times New Roman"/>
          <w:sz w:val="24"/>
          <w:szCs w:val="24"/>
          <w:lang w:val="es-ES_tradnl" w:eastAsia="es-PE"/>
        </w:rPr>
      </w:pPr>
    </w:p>
    <w:p w14:paraId="574C56E6" w14:textId="1CD1059D" w:rsidR="009C56E7" w:rsidRPr="00A534BF" w:rsidRDefault="009C56E7" w:rsidP="003B74A4">
      <w:pPr>
        <w:rPr>
          <w:rFonts w:ascii="Times New Roman" w:hAnsi="Times New Roman" w:cs="Times New Roman"/>
          <w:sz w:val="24"/>
          <w:szCs w:val="24"/>
          <w:lang w:val="es-ES_tradnl" w:eastAsia="es-PE"/>
        </w:rPr>
      </w:pPr>
      <w:r w:rsidRPr="00A534BF">
        <w:rPr>
          <w:rFonts w:ascii="Times New Roman" w:hAnsi="Times New Roman" w:cs="Times New Roman"/>
          <w:sz w:val="24"/>
          <w:szCs w:val="24"/>
          <w:lang w:val="es-ES_tradnl" w:eastAsia="es-PE"/>
        </w:rPr>
        <w:t xml:space="preserve">En conclusión, </w:t>
      </w:r>
      <w:r w:rsidRPr="00A534BF">
        <w:rPr>
          <w:rFonts w:ascii="Times New Roman" w:hAnsi="Times New Roman" w:cs="Times New Roman"/>
          <w:i/>
          <w:sz w:val="24"/>
          <w:szCs w:val="24"/>
          <w:lang w:val="es-ES_tradnl" w:eastAsia="es-PE"/>
        </w:rPr>
        <w:t>las enfermedades crónico degenerativas constituyen el principal desafío para los sistemas y servicios, así como para las políticas de salud en el MERCOSUR</w:t>
      </w:r>
      <w:r w:rsidRPr="00A534BF">
        <w:rPr>
          <w:rFonts w:ascii="Times New Roman" w:hAnsi="Times New Roman" w:cs="Times New Roman"/>
          <w:sz w:val="24"/>
          <w:szCs w:val="24"/>
          <w:lang w:val="es-ES_tradnl" w:eastAsia="es-PE"/>
        </w:rPr>
        <w:t>. Esto resulta tanto de las dinámicas poblacionales</w:t>
      </w:r>
      <w:r w:rsidR="00DD0E9F" w:rsidRPr="00A534BF">
        <w:rPr>
          <w:rFonts w:ascii="Times New Roman" w:hAnsi="Times New Roman" w:cs="Times New Roman"/>
          <w:sz w:val="24"/>
          <w:szCs w:val="24"/>
          <w:lang w:val="es-ES_tradnl" w:eastAsia="es-PE"/>
        </w:rPr>
        <w:t>,</w:t>
      </w:r>
      <w:r w:rsidRPr="00A534BF">
        <w:rPr>
          <w:rFonts w:ascii="Times New Roman" w:hAnsi="Times New Roman" w:cs="Times New Roman"/>
          <w:sz w:val="24"/>
          <w:szCs w:val="24"/>
          <w:lang w:val="es-ES_tradnl" w:eastAsia="es-PE"/>
        </w:rPr>
        <w:t xml:space="preserve"> como de procesos epidemiológicos. El aumento de los adultos mayores y la reducción de los niños son características importantes que contribuirán para entender los problemas de salud y las demandas que existen o existirán en los sistemas de salud.</w:t>
      </w:r>
    </w:p>
    <w:p w14:paraId="26AE9B62" w14:textId="77777777" w:rsidR="009C56E7" w:rsidRPr="00A534BF" w:rsidRDefault="009C56E7" w:rsidP="003B74A4">
      <w:pPr>
        <w:rPr>
          <w:rFonts w:ascii="Times New Roman" w:hAnsi="Times New Roman" w:cs="Times New Roman"/>
          <w:sz w:val="24"/>
          <w:szCs w:val="24"/>
          <w:lang w:val="es-ES_tradnl" w:eastAsia="es-PE"/>
        </w:rPr>
      </w:pPr>
    </w:p>
    <w:p w14:paraId="138BD2AD" w14:textId="559F9D66" w:rsidR="009C56E7" w:rsidRPr="00A534BF" w:rsidRDefault="009C56E7" w:rsidP="003B74A4">
      <w:pPr>
        <w:rPr>
          <w:rFonts w:ascii="Times New Roman" w:hAnsi="Times New Roman" w:cs="Times New Roman"/>
          <w:sz w:val="24"/>
          <w:szCs w:val="24"/>
          <w:lang w:val="es-ES_tradnl" w:eastAsia="es-PE"/>
        </w:rPr>
      </w:pPr>
      <w:r w:rsidRPr="00A534BF">
        <w:rPr>
          <w:rFonts w:ascii="Times New Roman" w:hAnsi="Times New Roman" w:cs="Times New Roman"/>
          <w:sz w:val="24"/>
          <w:szCs w:val="24"/>
          <w:lang w:val="es-ES_tradnl" w:eastAsia="es-PE"/>
        </w:rPr>
        <w:t xml:space="preserve">La asociación de estas transiciones con el hecho que los países de MERCOSUR y América del Sur es una de las regiones más urbanizadas del mundo </w:t>
      </w:r>
      <w:r w:rsidR="00DD0E9F" w:rsidRPr="00A534BF">
        <w:rPr>
          <w:rFonts w:ascii="Times New Roman" w:hAnsi="Times New Roman" w:cs="Times New Roman"/>
          <w:sz w:val="24"/>
          <w:szCs w:val="24"/>
          <w:lang w:val="es-ES_tradnl" w:eastAsia="es-PE"/>
        </w:rPr>
        <w:t>(</w:t>
      </w:r>
      <w:r w:rsidRPr="00A534BF">
        <w:rPr>
          <w:rFonts w:ascii="Times New Roman" w:hAnsi="Times New Roman" w:cs="Times New Roman"/>
          <w:sz w:val="24"/>
          <w:szCs w:val="24"/>
          <w:lang w:val="es-ES_tradnl" w:eastAsia="es-PE"/>
        </w:rPr>
        <w:t>84%</w:t>
      </w:r>
      <w:r w:rsidR="00DD0E9F" w:rsidRPr="00A534BF">
        <w:rPr>
          <w:rFonts w:ascii="Times New Roman" w:hAnsi="Times New Roman" w:cs="Times New Roman"/>
          <w:sz w:val="24"/>
          <w:szCs w:val="24"/>
          <w:lang w:val="es-ES_tradnl" w:eastAsia="es-PE"/>
        </w:rPr>
        <w:t>)</w:t>
      </w:r>
      <w:r w:rsidRPr="00A534BF">
        <w:rPr>
          <w:rFonts w:ascii="Times New Roman" w:hAnsi="Times New Roman" w:cs="Times New Roman"/>
          <w:sz w:val="24"/>
          <w:szCs w:val="24"/>
          <w:lang w:val="es-ES_tradnl" w:eastAsia="es-PE"/>
        </w:rPr>
        <w:t xml:space="preserve">  configura una situación de salud donde </w:t>
      </w:r>
      <w:r w:rsidRPr="00A534BF">
        <w:rPr>
          <w:rFonts w:ascii="Times New Roman" w:eastAsia="Times New Roman" w:hAnsi="Times New Roman" w:cs="Times New Roman"/>
          <w:color w:val="000000"/>
          <w:sz w:val="24"/>
          <w:szCs w:val="24"/>
          <w:shd w:val="clear" w:color="auto" w:fill="FFFFFF"/>
          <w:lang w:val="es-ES_tradnl" w:eastAsia="es-PE"/>
        </w:rPr>
        <w:t>el envejecimiento, y el aumento de la obesidad y la inactividad física han llevado a que las enfermedades cardiovasculares sean la principal causa de muerte y discapacidad, representando casi un tercio de la mortalidad total a nivel regional, con un riesgo generalmente mayor en los hombres que en las mujeres</w:t>
      </w:r>
      <w:r w:rsidRPr="00A534BF">
        <w:rPr>
          <w:rFonts w:ascii="Times New Roman" w:hAnsi="Times New Roman" w:cs="Times New Roman"/>
          <w:sz w:val="24"/>
          <w:szCs w:val="24"/>
          <w:vertAlign w:val="superscript"/>
          <w:lang w:val="es-ES_tradnl" w:eastAsia="es-PE"/>
        </w:rPr>
        <w:footnoteReference w:id="11"/>
      </w:r>
      <w:r w:rsidRPr="00A534BF">
        <w:rPr>
          <w:rFonts w:ascii="Times New Roman" w:eastAsia="Times New Roman" w:hAnsi="Times New Roman" w:cs="Times New Roman"/>
          <w:color w:val="000000"/>
          <w:sz w:val="24"/>
          <w:szCs w:val="24"/>
          <w:shd w:val="clear" w:color="auto" w:fill="FFFFFF"/>
          <w:lang w:val="es-ES_tradnl" w:eastAsia="es-PE"/>
        </w:rPr>
        <w:t>.</w:t>
      </w:r>
    </w:p>
    <w:p w14:paraId="761DE2AE" w14:textId="77777777" w:rsidR="009C56E7" w:rsidRPr="00A534BF" w:rsidRDefault="009C56E7" w:rsidP="003B74A4">
      <w:pPr>
        <w:rPr>
          <w:rFonts w:ascii="Times New Roman" w:hAnsi="Times New Roman" w:cs="Times New Roman"/>
          <w:sz w:val="24"/>
          <w:szCs w:val="24"/>
          <w:lang w:val="es-ES_tradnl" w:eastAsia="es-PE"/>
        </w:rPr>
      </w:pPr>
    </w:p>
    <w:p w14:paraId="738E1103" w14:textId="77777777" w:rsidR="009C56E7" w:rsidRPr="00A534BF" w:rsidRDefault="009C56E7" w:rsidP="003B74A4">
      <w:pPr>
        <w:rPr>
          <w:rFonts w:ascii="Times New Roman" w:hAnsi="Times New Roman" w:cs="Times New Roman"/>
          <w:sz w:val="24"/>
          <w:szCs w:val="24"/>
          <w:lang w:val="es-ES_tradnl" w:eastAsia="es-PE"/>
        </w:rPr>
      </w:pPr>
      <w:r w:rsidRPr="00A534BF">
        <w:rPr>
          <w:rFonts w:ascii="Times New Roman" w:hAnsi="Times New Roman" w:cs="Times New Roman"/>
          <w:sz w:val="24"/>
          <w:szCs w:val="24"/>
          <w:lang w:val="es-ES_tradnl" w:eastAsia="es-PE"/>
        </w:rPr>
        <w:t xml:space="preserve">Podemos observar algunos </w:t>
      </w:r>
      <w:r w:rsidRPr="00A534BF">
        <w:rPr>
          <w:rFonts w:ascii="Times New Roman" w:hAnsi="Times New Roman" w:cs="Times New Roman"/>
          <w:i/>
          <w:sz w:val="24"/>
          <w:szCs w:val="24"/>
          <w:lang w:val="es-ES_tradnl" w:eastAsia="es-PE"/>
        </w:rPr>
        <w:t>problemas de salud persistentes</w:t>
      </w:r>
      <w:r w:rsidRPr="00A534BF">
        <w:rPr>
          <w:rFonts w:ascii="Times New Roman" w:hAnsi="Times New Roman" w:cs="Times New Roman"/>
          <w:sz w:val="24"/>
          <w:szCs w:val="24"/>
          <w:lang w:val="es-ES_tradnl" w:eastAsia="es-PE"/>
        </w:rPr>
        <w:t>, con presencia significativa en la subregión:</w:t>
      </w:r>
    </w:p>
    <w:p w14:paraId="2C2F9E32" w14:textId="77777777" w:rsidR="009C56E7" w:rsidRPr="00A534BF" w:rsidRDefault="009C56E7" w:rsidP="003B74A4">
      <w:pPr>
        <w:rPr>
          <w:rFonts w:ascii="Times New Roman" w:hAnsi="Times New Roman" w:cs="Times New Roman"/>
          <w:sz w:val="24"/>
          <w:szCs w:val="24"/>
          <w:lang w:val="es-ES_tradnl" w:eastAsia="es-PE"/>
        </w:rPr>
      </w:pPr>
    </w:p>
    <w:p w14:paraId="39D4B29D" w14:textId="0A0A4ED4" w:rsidR="009C56E7" w:rsidRPr="00A534BF" w:rsidRDefault="009C56E7" w:rsidP="003B74A4">
      <w:pPr>
        <w:rPr>
          <w:rFonts w:ascii="Times New Roman" w:hAnsi="Times New Roman" w:cs="Times New Roman"/>
          <w:sz w:val="24"/>
          <w:szCs w:val="24"/>
          <w:lang w:val="es-ES_tradnl" w:eastAsia="es-PE"/>
        </w:rPr>
      </w:pPr>
      <w:r w:rsidRPr="00A534BF">
        <w:rPr>
          <w:rFonts w:ascii="Times New Roman" w:hAnsi="Times New Roman" w:cs="Times New Roman"/>
          <w:sz w:val="24"/>
          <w:szCs w:val="24"/>
          <w:lang w:val="es-ES_tradnl" w:eastAsia="es-PE"/>
        </w:rPr>
        <w:t xml:space="preserve">Los países del MERCOSUR han tenido grandes avances en la </w:t>
      </w:r>
      <w:r w:rsidRPr="00A534BF">
        <w:rPr>
          <w:rFonts w:ascii="Times New Roman" w:hAnsi="Times New Roman" w:cs="Times New Roman"/>
          <w:i/>
          <w:sz w:val="24"/>
          <w:szCs w:val="24"/>
          <w:lang w:val="es-ES_tradnl" w:eastAsia="es-PE"/>
        </w:rPr>
        <w:t>reducción del hambre y de la desnutrición</w:t>
      </w:r>
      <w:r w:rsidRPr="00A534BF">
        <w:rPr>
          <w:rFonts w:ascii="Times New Roman" w:hAnsi="Times New Roman" w:cs="Times New Roman"/>
          <w:sz w:val="24"/>
          <w:szCs w:val="24"/>
          <w:lang w:val="es-ES_tradnl" w:eastAsia="es-PE"/>
        </w:rPr>
        <w:t>, pero observamos un rápido crecimiento del sobrepeso y de la obesidad constituyendo un factor de riesgo clave en el aumento de las</w:t>
      </w:r>
      <w:r w:rsidR="00BB4F36" w:rsidRPr="00A534BF">
        <w:rPr>
          <w:rFonts w:ascii="Times New Roman" w:hAnsi="Times New Roman" w:cs="Times New Roman"/>
          <w:sz w:val="24"/>
          <w:szCs w:val="24"/>
          <w:lang w:val="es-ES_tradnl" w:eastAsia="es-PE"/>
        </w:rPr>
        <w:t xml:space="preserve"> ECNT</w:t>
      </w:r>
      <w:r w:rsidRPr="00A534BF">
        <w:rPr>
          <w:rFonts w:ascii="Times New Roman" w:hAnsi="Times New Roman" w:cs="Times New Roman"/>
          <w:sz w:val="24"/>
          <w:szCs w:val="24"/>
          <w:lang w:val="es-ES_tradnl" w:eastAsia="es-PE"/>
        </w:rPr>
        <w:t xml:space="preserve"> como la diabetes, las enfermedades cardiovasculares, el cáncer. La desnutrición y el sobrepeso tienen como causa común el </w:t>
      </w:r>
      <w:r w:rsidRPr="00A534BF">
        <w:rPr>
          <w:rFonts w:ascii="Times New Roman" w:hAnsi="Times New Roman" w:cs="Times New Roman"/>
          <w:i/>
          <w:sz w:val="24"/>
          <w:szCs w:val="24"/>
          <w:lang w:val="es-ES_tradnl" w:eastAsia="es-PE"/>
        </w:rPr>
        <w:t>consumo insuficiente de alimentos saludables</w:t>
      </w:r>
      <w:r w:rsidR="00BB4F36" w:rsidRPr="00A534BF">
        <w:rPr>
          <w:rFonts w:ascii="Times New Roman" w:hAnsi="Times New Roman" w:cs="Times New Roman"/>
          <w:sz w:val="24"/>
          <w:szCs w:val="24"/>
          <w:lang w:val="es-ES_tradnl" w:eastAsia="es-PE"/>
        </w:rPr>
        <w:t>,</w:t>
      </w:r>
      <w:r w:rsidRPr="00A534BF">
        <w:rPr>
          <w:rFonts w:ascii="Times New Roman" w:hAnsi="Times New Roman" w:cs="Times New Roman"/>
          <w:sz w:val="24"/>
          <w:szCs w:val="24"/>
          <w:lang w:val="es-ES_tradnl" w:eastAsia="es-PE"/>
        </w:rPr>
        <w:t xml:space="preserve">  una</w:t>
      </w:r>
      <w:r w:rsidRPr="00A534BF">
        <w:rPr>
          <w:rFonts w:ascii="Times New Roman" w:hAnsi="Times New Roman" w:cs="Times New Roman"/>
          <w:i/>
          <w:sz w:val="24"/>
          <w:szCs w:val="24"/>
          <w:lang w:val="es-ES_tradnl" w:eastAsia="es-PE"/>
        </w:rPr>
        <w:t xml:space="preserve"> </w:t>
      </w:r>
      <w:r w:rsidRPr="00A534BF">
        <w:rPr>
          <w:rFonts w:ascii="Times New Roman" w:hAnsi="Times New Roman" w:cs="Times New Roman"/>
          <w:sz w:val="24"/>
          <w:szCs w:val="24"/>
          <w:lang w:val="es-ES_tradnl" w:eastAsia="es-PE"/>
        </w:rPr>
        <w:t>alimentación basada en productos procesados</w:t>
      </w:r>
      <w:r w:rsidR="00BB4F36" w:rsidRPr="00A534BF">
        <w:rPr>
          <w:rFonts w:ascii="Times New Roman" w:hAnsi="Times New Roman" w:cs="Times New Roman"/>
          <w:sz w:val="24"/>
          <w:szCs w:val="24"/>
          <w:lang w:val="es-ES_tradnl" w:eastAsia="es-PE"/>
        </w:rPr>
        <w:t xml:space="preserve"> o</w:t>
      </w:r>
      <w:r w:rsidRPr="00A534BF">
        <w:rPr>
          <w:rFonts w:ascii="Times New Roman" w:hAnsi="Times New Roman" w:cs="Times New Roman"/>
          <w:sz w:val="24"/>
          <w:szCs w:val="24"/>
          <w:lang w:val="es-ES_tradnl" w:eastAsia="es-PE"/>
        </w:rPr>
        <w:t xml:space="preserve"> ultra procesados y en un abundante consumo de bebidas azucaradas.</w:t>
      </w:r>
    </w:p>
    <w:p w14:paraId="2FD511B2" w14:textId="77777777" w:rsidR="009C56E7" w:rsidRPr="00A534BF" w:rsidRDefault="009C56E7" w:rsidP="003B74A4">
      <w:pPr>
        <w:rPr>
          <w:rFonts w:ascii="Times New Roman" w:hAnsi="Times New Roman" w:cs="Times New Roman"/>
          <w:sz w:val="24"/>
          <w:szCs w:val="24"/>
          <w:lang w:val="es-ES_tradnl" w:eastAsia="es-PE"/>
        </w:rPr>
      </w:pPr>
      <w:r w:rsidRPr="00A534BF">
        <w:rPr>
          <w:rFonts w:ascii="Times New Roman" w:hAnsi="Times New Roman" w:cs="Times New Roman"/>
          <w:sz w:val="24"/>
          <w:szCs w:val="24"/>
          <w:lang w:val="es-ES_tradnl" w:eastAsia="es-PE"/>
        </w:rPr>
        <w:lastRenderedPageBreak/>
        <w:t xml:space="preserve"> </w:t>
      </w:r>
    </w:p>
    <w:p w14:paraId="1C149948" w14:textId="67662D51" w:rsidR="009C56E7" w:rsidRPr="00A534BF" w:rsidRDefault="009C56E7" w:rsidP="003B74A4">
      <w:pPr>
        <w:rPr>
          <w:rFonts w:ascii="Times New Roman" w:hAnsi="Times New Roman" w:cs="Times New Roman"/>
          <w:sz w:val="24"/>
          <w:szCs w:val="24"/>
          <w:lang w:val="es-ES_tradnl" w:eastAsia="es-PE"/>
        </w:rPr>
      </w:pPr>
      <w:r w:rsidRPr="00A534BF">
        <w:rPr>
          <w:rFonts w:ascii="Times New Roman" w:hAnsi="Times New Roman" w:cs="Times New Roman"/>
          <w:sz w:val="24"/>
          <w:szCs w:val="24"/>
          <w:lang w:val="es-ES_tradnl" w:eastAsia="es-PE"/>
        </w:rPr>
        <w:t xml:space="preserve">La pobreza y la desigualdad continúan siendo grandes barreras para alcanzar la seguridad alimentaria y nutricional. La tendencia respecto al sobrepeso y obesidad afecta a una parte importante de los países del MERCOSUR, generando un alto costo económico y social. Asimismo, en muchos de los países  este problema parece manifestarse más en las mujeres que en </w:t>
      </w:r>
      <w:r w:rsidR="00DD0E9F" w:rsidRPr="00A534BF">
        <w:rPr>
          <w:rFonts w:ascii="Times New Roman" w:hAnsi="Times New Roman" w:cs="Times New Roman"/>
          <w:sz w:val="24"/>
          <w:szCs w:val="24"/>
          <w:lang w:val="es-ES_tradnl" w:eastAsia="es-PE"/>
        </w:rPr>
        <w:t xml:space="preserve">los </w:t>
      </w:r>
      <w:r w:rsidRPr="00A534BF">
        <w:rPr>
          <w:rFonts w:ascii="Times New Roman" w:hAnsi="Times New Roman" w:cs="Times New Roman"/>
          <w:sz w:val="24"/>
          <w:szCs w:val="24"/>
          <w:lang w:val="es-ES_tradnl" w:eastAsia="es-PE"/>
        </w:rPr>
        <w:t>hombre</w:t>
      </w:r>
      <w:r w:rsidR="00DD0E9F" w:rsidRPr="00A534BF">
        <w:rPr>
          <w:rFonts w:ascii="Times New Roman" w:hAnsi="Times New Roman" w:cs="Times New Roman"/>
          <w:sz w:val="24"/>
          <w:szCs w:val="24"/>
          <w:lang w:val="es-ES_tradnl" w:eastAsia="es-PE"/>
        </w:rPr>
        <w:t>s</w:t>
      </w:r>
      <w:r w:rsidRPr="00A534BF">
        <w:rPr>
          <w:rFonts w:ascii="Times New Roman" w:hAnsi="Times New Roman" w:cs="Times New Roman"/>
          <w:sz w:val="24"/>
          <w:szCs w:val="24"/>
          <w:vertAlign w:val="superscript"/>
          <w:lang w:val="es-ES_tradnl" w:eastAsia="es-PE"/>
        </w:rPr>
        <w:footnoteReference w:id="12"/>
      </w:r>
      <w:r w:rsidRPr="00A534BF">
        <w:rPr>
          <w:rFonts w:ascii="Times New Roman" w:hAnsi="Times New Roman" w:cs="Times New Roman"/>
          <w:sz w:val="24"/>
          <w:szCs w:val="24"/>
          <w:lang w:val="es-ES_tradnl" w:eastAsia="es-PE"/>
        </w:rPr>
        <w:t xml:space="preserve">. </w:t>
      </w:r>
    </w:p>
    <w:p w14:paraId="5D491ACC" w14:textId="55E55F68" w:rsidR="009C56E7" w:rsidRPr="00A534BF" w:rsidRDefault="009C56E7" w:rsidP="003B74A4">
      <w:pPr>
        <w:rPr>
          <w:rFonts w:ascii="Times New Roman" w:hAnsi="Times New Roman" w:cs="Times New Roman"/>
          <w:sz w:val="24"/>
          <w:szCs w:val="24"/>
          <w:lang w:val="uz-Cyrl-UZ"/>
        </w:rPr>
      </w:pPr>
      <w:r w:rsidRPr="00A534BF">
        <w:rPr>
          <w:rFonts w:ascii="Times New Roman" w:hAnsi="Times New Roman" w:cs="Times New Roman"/>
          <w:sz w:val="24"/>
          <w:szCs w:val="24"/>
          <w:lang w:val="es-ES_tradnl"/>
        </w:rPr>
        <w:t xml:space="preserve">Asimismo, la ausencia de </w:t>
      </w:r>
      <w:r w:rsidRPr="00A534BF">
        <w:rPr>
          <w:rFonts w:ascii="Times New Roman" w:hAnsi="Times New Roman" w:cs="Times New Roman"/>
          <w:i/>
          <w:sz w:val="24"/>
          <w:szCs w:val="24"/>
          <w:lang w:val="es-ES_tradnl"/>
        </w:rPr>
        <w:t>micronutrientes</w:t>
      </w:r>
      <w:r w:rsidRPr="00A534BF">
        <w:rPr>
          <w:rFonts w:ascii="Times New Roman" w:hAnsi="Times New Roman" w:cs="Times New Roman"/>
          <w:sz w:val="24"/>
          <w:szCs w:val="24"/>
          <w:lang w:val="es-ES_tradnl"/>
        </w:rPr>
        <w:t xml:space="preserve"> es otro problema asociado a la desnutrición </w:t>
      </w:r>
      <w:proofErr w:type="spellStart"/>
      <w:r w:rsidRPr="00A534BF">
        <w:rPr>
          <w:rFonts w:ascii="Times New Roman" w:hAnsi="Times New Roman" w:cs="Times New Roman"/>
          <w:sz w:val="24"/>
          <w:szCs w:val="24"/>
          <w:lang w:val="es-ES_tradnl"/>
        </w:rPr>
        <w:t>ocasionandoanemia</w:t>
      </w:r>
      <w:r w:rsidR="00DD0E9F" w:rsidRPr="00A534BF">
        <w:rPr>
          <w:rFonts w:ascii="Times New Roman" w:hAnsi="Times New Roman" w:cs="Times New Roman"/>
          <w:sz w:val="24"/>
          <w:szCs w:val="24"/>
          <w:lang w:val="es-ES_tradnl"/>
        </w:rPr>
        <w:t>s</w:t>
      </w:r>
      <w:proofErr w:type="spellEnd"/>
      <w:r w:rsidR="00DD0E9F" w:rsidRPr="00A534BF">
        <w:rPr>
          <w:rFonts w:ascii="Times New Roman" w:hAnsi="Times New Roman" w:cs="Times New Roman"/>
          <w:sz w:val="24"/>
          <w:szCs w:val="24"/>
          <w:lang w:val="es-ES_tradnl"/>
        </w:rPr>
        <w:t>,</w:t>
      </w:r>
      <w:r w:rsidRPr="00A534BF">
        <w:rPr>
          <w:rFonts w:ascii="Times New Roman" w:hAnsi="Times New Roman" w:cs="Times New Roman"/>
          <w:sz w:val="24"/>
          <w:szCs w:val="24"/>
          <w:lang w:val="es-ES_tradnl"/>
        </w:rPr>
        <w:t xml:space="preserve"> tanto en las madres como en los niños, constituyendo un importante problema de salud en la subregión</w:t>
      </w:r>
      <w:r w:rsidRPr="00A534BF">
        <w:rPr>
          <w:rFonts w:ascii="Times New Roman" w:hAnsi="Times New Roman" w:cs="Times New Roman"/>
          <w:sz w:val="24"/>
          <w:szCs w:val="24"/>
          <w:lang w:val="uz-Cyrl-UZ"/>
        </w:rPr>
        <w:t>.</w:t>
      </w:r>
    </w:p>
    <w:p w14:paraId="5895F46D" w14:textId="5AB7CAEA" w:rsidR="009C56E7" w:rsidRPr="00A534BF" w:rsidRDefault="009C56E7" w:rsidP="003B74A4">
      <w:pPr>
        <w:rPr>
          <w:rFonts w:ascii="Times New Roman" w:hAnsi="Times New Roman" w:cs="Times New Roman"/>
          <w:sz w:val="24"/>
          <w:szCs w:val="24"/>
          <w:lang w:val="es-ES_tradnl"/>
        </w:rPr>
      </w:pPr>
      <w:r w:rsidRPr="00A534BF">
        <w:rPr>
          <w:rFonts w:ascii="Times New Roman" w:hAnsi="Times New Roman" w:cs="Times New Roman"/>
          <w:sz w:val="24"/>
          <w:szCs w:val="24"/>
          <w:lang w:val="es-ES_tradnl"/>
        </w:rPr>
        <w:t xml:space="preserve">Las </w:t>
      </w:r>
      <w:r w:rsidRPr="00A534BF">
        <w:rPr>
          <w:rFonts w:ascii="Times New Roman" w:hAnsi="Times New Roman" w:cs="Times New Roman"/>
          <w:i/>
          <w:sz w:val="24"/>
          <w:szCs w:val="24"/>
          <w:lang w:val="es-ES_tradnl"/>
        </w:rPr>
        <w:t>enfermedades infecciosas</w:t>
      </w:r>
      <w:r w:rsidRPr="00A534BF">
        <w:rPr>
          <w:rFonts w:ascii="Times New Roman" w:hAnsi="Times New Roman" w:cs="Times New Roman"/>
          <w:sz w:val="24"/>
          <w:szCs w:val="24"/>
          <w:lang w:val="es-ES_tradnl"/>
        </w:rPr>
        <w:t xml:space="preserve"> continúan siendo un desafío en los países del MERCOSUR tanto en los niños como en los adultos, siendo la mayoría de estas atribuibles a causas tratables o evitables, tales como la diarrea, infecciones respiratorias, HIV/SIDA</w:t>
      </w:r>
      <w:r w:rsidRPr="00A534BF">
        <w:rPr>
          <w:rFonts w:ascii="Times New Roman" w:hAnsi="Times New Roman" w:cs="Times New Roman"/>
          <w:sz w:val="24"/>
          <w:szCs w:val="24"/>
          <w:vertAlign w:val="superscript"/>
          <w:lang w:val="es-ES_tradnl"/>
        </w:rPr>
        <w:footnoteReference w:id="13"/>
      </w:r>
      <w:r w:rsidRPr="00A534BF">
        <w:rPr>
          <w:rFonts w:ascii="Times New Roman" w:hAnsi="Times New Roman" w:cs="Times New Roman"/>
          <w:sz w:val="24"/>
          <w:szCs w:val="24"/>
          <w:lang w:val="es-ES_tradnl"/>
        </w:rPr>
        <w:t>, sífilis congénita, tuberculosis</w:t>
      </w:r>
      <w:r w:rsidRPr="00A534BF">
        <w:rPr>
          <w:rFonts w:ascii="Times New Roman" w:hAnsi="Times New Roman" w:cs="Times New Roman"/>
          <w:sz w:val="24"/>
          <w:szCs w:val="24"/>
          <w:vertAlign w:val="superscript"/>
          <w:lang w:val="es-ES_tradnl"/>
        </w:rPr>
        <w:footnoteReference w:id="14"/>
      </w:r>
      <w:r w:rsidRPr="00A534BF">
        <w:rPr>
          <w:rFonts w:ascii="Times New Roman" w:hAnsi="Times New Roman" w:cs="Times New Roman"/>
          <w:sz w:val="24"/>
          <w:szCs w:val="24"/>
          <w:lang w:val="es-ES_tradnl"/>
        </w:rPr>
        <w:t xml:space="preserve"> y malaria</w:t>
      </w:r>
      <w:r w:rsidRPr="00A534BF">
        <w:rPr>
          <w:rFonts w:ascii="Times New Roman" w:hAnsi="Times New Roman" w:cs="Times New Roman"/>
          <w:sz w:val="24"/>
          <w:szCs w:val="24"/>
          <w:vertAlign w:val="superscript"/>
          <w:lang w:val="es-ES_tradnl"/>
        </w:rPr>
        <w:footnoteReference w:id="15"/>
      </w:r>
      <w:r w:rsidRPr="00A534BF">
        <w:rPr>
          <w:rFonts w:ascii="Times New Roman" w:hAnsi="Times New Roman" w:cs="Times New Roman"/>
          <w:sz w:val="24"/>
          <w:szCs w:val="24"/>
          <w:lang w:val="es-ES_tradnl"/>
        </w:rPr>
        <w:t>. Aún en presencia de avances en el tratamiento de estas enfermedades, tales intervenciones no siempre están disponibles para las poblaciones afectadas por ellas</w:t>
      </w:r>
      <w:r w:rsidRPr="00A534BF">
        <w:rPr>
          <w:rFonts w:ascii="Times New Roman" w:hAnsi="Times New Roman" w:cs="Times New Roman"/>
          <w:sz w:val="24"/>
          <w:szCs w:val="24"/>
          <w:vertAlign w:val="superscript"/>
          <w:lang w:val="es-ES_tradnl"/>
        </w:rPr>
        <w:footnoteReference w:id="16"/>
      </w:r>
      <w:r w:rsidRPr="00A534BF">
        <w:rPr>
          <w:rFonts w:ascii="Times New Roman" w:hAnsi="Times New Roman" w:cs="Times New Roman"/>
          <w:sz w:val="24"/>
          <w:szCs w:val="24"/>
          <w:lang w:val="es-ES_tradnl"/>
        </w:rPr>
        <w:t xml:space="preserve">. Aún cuando puede verse un trabajo intenso sobre estas </w:t>
      </w:r>
      <w:r w:rsidRPr="00A534BF">
        <w:rPr>
          <w:rFonts w:ascii="Times New Roman" w:hAnsi="Times New Roman" w:cs="Times New Roman"/>
          <w:i/>
          <w:sz w:val="24"/>
          <w:szCs w:val="24"/>
          <w:lang w:val="es-ES_tradnl"/>
        </w:rPr>
        <w:t>enfermedades infecciosas</w:t>
      </w:r>
      <w:r w:rsidRPr="00A534BF">
        <w:rPr>
          <w:rFonts w:ascii="Times New Roman" w:hAnsi="Times New Roman" w:cs="Times New Roman"/>
          <w:sz w:val="24"/>
          <w:szCs w:val="24"/>
          <w:lang w:val="es-ES_tradnl"/>
        </w:rPr>
        <w:t xml:space="preserve"> a nivel del bloque podría avanzarse más en una vigilancia eficiente y capaz de detectar</w:t>
      </w:r>
      <w:r w:rsidR="00C67A23" w:rsidRPr="00A534BF">
        <w:rPr>
          <w:rFonts w:ascii="Times New Roman" w:hAnsi="Times New Roman" w:cs="Times New Roman"/>
          <w:sz w:val="24"/>
          <w:szCs w:val="24"/>
          <w:lang w:val="es-ES_tradnl"/>
        </w:rPr>
        <w:t xml:space="preserve"> </w:t>
      </w:r>
      <w:proofErr w:type="spellStart"/>
      <w:r w:rsidR="00C67A23" w:rsidRPr="00A534BF">
        <w:rPr>
          <w:rFonts w:ascii="Times New Roman" w:hAnsi="Times New Roman" w:cs="Times New Roman"/>
          <w:sz w:val="24"/>
          <w:szCs w:val="24"/>
          <w:lang w:val="es-ES_tradnl"/>
        </w:rPr>
        <w:t>precocemente</w:t>
      </w:r>
      <w:proofErr w:type="spellEnd"/>
      <w:r w:rsidRPr="00A534BF">
        <w:rPr>
          <w:rFonts w:ascii="Times New Roman" w:hAnsi="Times New Roman" w:cs="Times New Roman"/>
          <w:sz w:val="24"/>
          <w:szCs w:val="24"/>
          <w:lang w:val="es-ES_tradnl"/>
        </w:rPr>
        <w:t xml:space="preserve"> a los agentes patógenos y bloquear su propagación. </w:t>
      </w:r>
    </w:p>
    <w:p w14:paraId="0BCEDE28" w14:textId="55DFF2ED" w:rsidR="009C56E7" w:rsidRPr="00A534BF" w:rsidRDefault="009C56E7" w:rsidP="003B74A4">
      <w:pPr>
        <w:rPr>
          <w:rFonts w:ascii="Times New Roman" w:hAnsi="Times New Roman" w:cs="Times New Roman"/>
          <w:sz w:val="24"/>
          <w:szCs w:val="24"/>
          <w:lang w:val="uz-Cyrl-UZ"/>
        </w:rPr>
      </w:pPr>
      <w:r w:rsidRPr="00A534BF">
        <w:rPr>
          <w:rFonts w:ascii="Times New Roman" w:hAnsi="Times New Roman" w:cs="Times New Roman"/>
          <w:sz w:val="24"/>
          <w:szCs w:val="24"/>
          <w:lang w:val="es-ES_tradnl"/>
        </w:rPr>
        <w:t>El caso de las enfermedades olvidadas (</w:t>
      </w:r>
      <w:proofErr w:type="spellStart"/>
      <w:r w:rsidRPr="00A534BF">
        <w:rPr>
          <w:rFonts w:ascii="Times New Roman" w:hAnsi="Times New Roman" w:cs="Times New Roman"/>
          <w:i/>
          <w:sz w:val="24"/>
          <w:szCs w:val="24"/>
          <w:lang w:val="es-ES_tradnl"/>
        </w:rPr>
        <w:t>neglected</w:t>
      </w:r>
      <w:proofErr w:type="spellEnd"/>
      <w:r w:rsidRPr="00A534BF">
        <w:rPr>
          <w:rFonts w:ascii="Times New Roman" w:hAnsi="Times New Roman" w:cs="Times New Roman"/>
          <w:i/>
          <w:sz w:val="24"/>
          <w:szCs w:val="24"/>
          <w:lang w:val="es-ES_tradnl"/>
        </w:rPr>
        <w:t xml:space="preserve"> </w:t>
      </w:r>
      <w:proofErr w:type="spellStart"/>
      <w:r w:rsidRPr="00A534BF">
        <w:rPr>
          <w:rFonts w:ascii="Times New Roman" w:hAnsi="Times New Roman" w:cs="Times New Roman"/>
          <w:i/>
          <w:sz w:val="24"/>
          <w:szCs w:val="24"/>
          <w:lang w:val="es-ES_tradnl"/>
        </w:rPr>
        <w:t>disease</w:t>
      </w:r>
      <w:r w:rsidR="00C67A23" w:rsidRPr="00A534BF">
        <w:rPr>
          <w:rFonts w:ascii="Times New Roman" w:hAnsi="Times New Roman" w:cs="Times New Roman"/>
          <w:i/>
          <w:sz w:val="24"/>
          <w:szCs w:val="24"/>
          <w:lang w:val="es-ES_tradnl"/>
        </w:rPr>
        <w:t>s</w:t>
      </w:r>
      <w:proofErr w:type="spellEnd"/>
      <w:r w:rsidRPr="00A534BF">
        <w:rPr>
          <w:rFonts w:ascii="Times New Roman" w:hAnsi="Times New Roman" w:cs="Times New Roman"/>
          <w:sz w:val="24"/>
          <w:szCs w:val="24"/>
          <w:lang w:val="es-ES_tradnl"/>
        </w:rPr>
        <w:t xml:space="preserve">) merece una particular mención. En especial las </w:t>
      </w:r>
      <w:r w:rsidRPr="00A534BF">
        <w:rPr>
          <w:rFonts w:ascii="Times New Roman" w:hAnsi="Times New Roman" w:cs="Times New Roman"/>
          <w:i/>
          <w:sz w:val="24"/>
          <w:szCs w:val="24"/>
          <w:lang w:val="es-ES_tradnl"/>
        </w:rPr>
        <w:t xml:space="preserve">enfermedades vectoriales </w:t>
      </w:r>
      <w:r w:rsidRPr="00A534BF">
        <w:rPr>
          <w:rFonts w:ascii="Times New Roman" w:hAnsi="Times New Roman" w:cs="Times New Roman"/>
          <w:sz w:val="24"/>
          <w:szCs w:val="24"/>
          <w:lang w:val="es-ES_tradnl"/>
        </w:rPr>
        <w:t>como</w:t>
      </w:r>
      <w:r w:rsidRPr="00A534BF">
        <w:rPr>
          <w:rFonts w:ascii="Times New Roman" w:hAnsi="Times New Roman" w:cs="Times New Roman"/>
          <w:i/>
          <w:sz w:val="24"/>
          <w:szCs w:val="24"/>
          <w:lang w:val="es-ES_tradnl"/>
        </w:rPr>
        <w:t xml:space="preserve"> Dengue, Chikunguña y Zika,</w:t>
      </w:r>
      <w:r w:rsidRPr="00A534BF">
        <w:rPr>
          <w:rFonts w:ascii="Times New Roman" w:hAnsi="Times New Roman" w:cs="Times New Roman"/>
          <w:sz w:val="24"/>
          <w:szCs w:val="24"/>
          <w:lang w:val="es-ES_tradnl"/>
        </w:rPr>
        <w:t xml:space="preserve"> que son transmitidas por el </w:t>
      </w:r>
      <w:r w:rsidRPr="00A534BF">
        <w:rPr>
          <w:rFonts w:ascii="Times New Roman" w:hAnsi="Times New Roman" w:cs="Times New Roman"/>
          <w:i/>
          <w:sz w:val="24"/>
          <w:szCs w:val="24"/>
          <w:lang w:val="es-ES_tradnl"/>
        </w:rPr>
        <w:t xml:space="preserve">Aedes </w:t>
      </w:r>
      <w:proofErr w:type="spellStart"/>
      <w:r w:rsidRPr="00A534BF">
        <w:rPr>
          <w:rFonts w:ascii="Times New Roman" w:hAnsi="Times New Roman" w:cs="Times New Roman"/>
          <w:i/>
          <w:sz w:val="24"/>
          <w:szCs w:val="24"/>
          <w:lang w:val="es-ES_tradnl"/>
        </w:rPr>
        <w:t>aegyti</w:t>
      </w:r>
      <w:proofErr w:type="spellEnd"/>
      <w:r w:rsidRPr="00A534BF">
        <w:rPr>
          <w:rFonts w:ascii="Times New Roman" w:hAnsi="Times New Roman" w:cs="Times New Roman"/>
          <w:sz w:val="24"/>
          <w:szCs w:val="24"/>
          <w:lang w:val="es-ES_tradnl"/>
        </w:rPr>
        <w:t>, que han ido urbanizándose</w:t>
      </w:r>
      <w:r w:rsidR="00C67A23" w:rsidRPr="00A534BF">
        <w:rPr>
          <w:rFonts w:ascii="Times New Roman" w:hAnsi="Times New Roman" w:cs="Times New Roman"/>
          <w:sz w:val="24"/>
          <w:szCs w:val="24"/>
          <w:lang w:val="es-ES_tradnl"/>
        </w:rPr>
        <w:t xml:space="preserve"> y alcanzando nuevos </w:t>
      </w:r>
      <w:proofErr w:type="spellStart"/>
      <w:r w:rsidR="00C67A23" w:rsidRPr="00A534BF">
        <w:rPr>
          <w:rFonts w:ascii="Times New Roman" w:hAnsi="Times New Roman" w:cs="Times New Roman"/>
          <w:sz w:val="24"/>
          <w:szCs w:val="24"/>
          <w:lang w:val="es-ES_tradnl"/>
        </w:rPr>
        <w:t>territórios</w:t>
      </w:r>
      <w:proofErr w:type="spellEnd"/>
      <w:r w:rsidR="00C67A23" w:rsidRPr="00A534BF">
        <w:rPr>
          <w:rFonts w:ascii="Times New Roman" w:hAnsi="Times New Roman" w:cs="Times New Roman"/>
          <w:sz w:val="24"/>
          <w:szCs w:val="24"/>
          <w:lang w:val="es-ES_tradnl"/>
        </w:rPr>
        <w:t xml:space="preserve"> en la región</w:t>
      </w:r>
      <w:r w:rsidRPr="00A534BF">
        <w:rPr>
          <w:rFonts w:ascii="Times New Roman" w:hAnsi="Times New Roman" w:cs="Times New Roman"/>
          <w:sz w:val="24"/>
          <w:szCs w:val="24"/>
          <w:lang w:val="es-ES_tradnl"/>
        </w:rPr>
        <w:t>, presentando un difícil control</w:t>
      </w:r>
      <w:r w:rsidRPr="00A534BF">
        <w:rPr>
          <w:rFonts w:ascii="Times New Roman" w:hAnsi="Times New Roman" w:cs="Times New Roman"/>
          <w:sz w:val="24"/>
          <w:szCs w:val="24"/>
          <w:vertAlign w:val="superscript"/>
          <w:lang w:val="es-ES_tradnl"/>
        </w:rPr>
        <w:footnoteReference w:id="17"/>
      </w:r>
      <w:r w:rsidRPr="00A534BF">
        <w:rPr>
          <w:rFonts w:ascii="Times New Roman" w:hAnsi="Times New Roman" w:cs="Times New Roman"/>
          <w:sz w:val="24"/>
          <w:szCs w:val="24"/>
          <w:lang w:val="es-ES_tradnl"/>
        </w:rPr>
        <w:t xml:space="preserve">. El </w:t>
      </w:r>
      <w:r w:rsidRPr="00A534BF">
        <w:rPr>
          <w:rFonts w:ascii="Times New Roman" w:hAnsi="Times New Roman" w:cs="Times New Roman"/>
          <w:i/>
          <w:sz w:val="24"/>
          <w:szCs w:val="24"/>
          <w:lang w:val="es-ES_tradnl"/>
        </w:rPr>
        <w:t>Zika</w:t>
      </w:r>
      <w:r w:rsidRPr="00A534BF">
        <w:rPr>
          <w:rFonts w:ascii="Times New Roman" w:hAnsi="Times New Roman" w:cs="Times New Roman"/>
          <w:sz w:val="24"/>
          <w:szCs w:val="24"/>
          <w:lang w:val="es-ES_tradnl"/>
        </w:rPr>
        <w:t xml:space="preserve"> es una enfermedad que tuvo más casos sospechosos y confirmados en países del MERCOSUR desde el 2015, aún cuando se observe una tendencia decreciente de los casos sospechosos y confirmados. El hecho de que esa </w:t>
      </w:r>
      <w:proofErr w:type="spellStart"/>
      <w:r w:rsidRPr="00A534BF">
        <w:rPr>
          <w:rFonts w:ascii="Times New Roman" w:hAnsi="Times New Roman" w:cs="Times New Roman"/>
          <w:sz w:val="24"/>
          <w:szCs w:val="24"/>
          <w:lang w:val="es-ES_tradnl"/>
        </w:rPr>
        <w:t>viros</w:t>
      </w:r>
      <w:r w:rsidR="00DD0E9F" w:rsidRPr="00A534BF">
        <w:rPr>
          <w:rFonts w:ascii="Times New Roman" w:hAnsi="Times New Roman" w:cs="Times New Roman"/>
          <w:sz w:val="24"/>
          <w:szCs w:val="24"/>
          <w:lang w:val="es-ES_tradnl"/>
        </w:rPr>
        <w:t>e</w:t>
      </w:r>
      <w:proofErr w:type="spellEnd"/>
      <w:r w:rsidRPr="00A534BF">
        <w:rPr>
          <w:rFonts w:ascii="Times New Roman" w:hAnsi="Times New Roman" w:cs="Times New Roman"/>
          <w:sz w:val="24"/>
          <w:szCs w:val="24"/>
          <w:lang w:val="es-ES_tradnl"/>
        </w:rPr>
        <w:t xml:space="preserve">  </w:t>
      </w:r>
      <w:proofErr w:type="spellStart"/>
      <w:r w:rsidRPr="00A534BF">
        <w:rPr>
          <w:rFonts w:ascii="Times New Roman" w:hAnsi="Times New Roman" w:cs="Times New Roman"/>
          <w:sz w:val="24"/>
          <w:szCs w:val="24"/>
          <w:lang w:val="es-ES_tradnl"/>
        </w:rPr>
        <w:t>esta</w:t>
      </w:r>
      <w:proofErr w:type="spellEnd"/>
      <w:r w:rsidRPr="00A534BF">
        <w:rPr>
          <w:rFonts w:ascii="Times New Roman" w:hAnsi="Times New Roman" w:cs="Times New Roman"/>
          <w:sz w:val="24"/>
          <w:szCs w:val="24"/>
          <w:lang w:val="es-ES_tradnl"/>
        </w:rPr>
        <w:t xml:space="preserve"> vinculada a la aparición de microcefalia en los recién nacidos y síndrome de </w:t>
      </w:r>
      <w:proofErr w:type="spellStart"/>
      <w:r w:rsidRPr="00A534BF">
        <w:rPr>
          <w:rFonts w:ascii="Times New Roman" w:hAnsi="Times New Roman" w:cs="Times New Roman"/>
          <w:sz w:val="24"/>
          <w:szCs w:val="24"/>
          <w:lang w:val="es-ES_tradnl"/>
        </w:rPr>
        <w:t>Guillán</w:t>
      </w:r>
      <w:proofErr w:type="spellEnd"/>
      <w:r w:rsidRPr="00A534BF">
        <w:rPr>
          <w:rFonts w:ascii="Times New Roman" w:hAnsi="Times New Roman" w:cs="Times New Roman"/>
          <w:sz w:val="24"/>
          <w:szCs w:val="24"/>
          <w:lang w:val="es-ES_tradnl"/>
        </w:rPr>
        <w:t xml:space="preserve">-Barré y otros trastornos </w:t>
      </w:r>
      <w:r w:rsidRPr="00A534BF">
        <w:rPr>
          <w:rFonts w:ascii="Times New Roman" w:hAnsi="Times New Roman" w:cs="Times New Roman"/>
          <w:sz w:val="24"/>
          <w:szCs w:val="24"/>
          <w:lang w:val="es-ES_tradnl"/>
        </w:rPr>
        <w:lastRenderedPageBreak/>
        <w:t xml:space="preserve">neurológicos </w:t>
      </w:r>
      <w:r w:rsidR="00DD0E9F" w:rsidRPr="00A534BF">
        <w:rPr>
          <w:rFonts w:ascii="Times New Roman" w:hAnsi="Times New Roman" w:cs="Times New Roman"/>
          <w:sz w:val="24"/>
          <w:szCs w:val="24"/>
          <w:lang w:val="es-ES_tradnl"/>
        </w:rPr>
        <w:t xml:space="preserve">en adultos </w:t>
      </w:r>
      <w:r w:rsidRPr="00A534BF">
        <w:rPr>
          <w:rFonts w:ascii="Times New Roman" w:hAnsi="Times New Roman" w:cs="Times New Roman"/>
          <w:sz w:val="24"/>
          <w:szCs w:val="24"/>
          <w:lang w:val="es-ES_tradnl"/>
        </w:rPr>
        <w:t>que antes no eran asociados a la infección (</w:t>
      </w:r>
      <w:r w:rsidRPr="00A534BF">
        <w:rPr>
          <w:rFonts w:ascii="Times New Roman" w:hAnsi="Times New Roman" w:cs="Times New Roman"/>
          <w:i/>
          <w:sz w:val="24"/>
          <w:szCs w:val="24"/>
          <w:lang w:val="es-ES_tradnl"/>
        </w:rPr>
        <w:t>Informe de Salud de las Américas 2017</w:t>
      </w:r>
      <w:r w:rsidRPr="00A534BF">
        <w:rPr>
          <w:rFonts w:ascii="Times New Roman" w:hAnsi="Times New Roman" w:cs="Times New Roman"/>
          <w:sz w:val="24"/>
          <w:szCs w:val="24"/>
          <w:lang w:val="es-ES_tradnl"/>
        </w:rPr>
        <w:t>)</w:t>
      </w:r>
      <w:r w:rsidRPr="00A534BF">
        <w:rPr>
          <w:rFonts w:ascii="Times New Roman" w:eastAsia="Times New Roman" w:hAnsi="Times New Roman" w:cs="Times New Roman"/>
          <w:color w:val="000000"/>
          <w:sz w:val="24"/>
          <w:szCs w:val="24"/>
          <w:shd w:val="clear" w:color="auto" w:fill="FFFFFF"/>
          <w:lang w:val="es-ES_tradnl"/>
        </w:rPr>
        <w:t xml:space="preserve"> ha provocado una importante crisis de salud pública</w:t>
      </w:r>
      <w:r w:rsidRPr="00A534BF">
        <w:rPr>
          <w:rFonts w:ascii="Times New Roman" w:eastAsia="Times New Roman" w:hAnsi="Times New Roman" w:cs="Times New Roman"/>
          <w:color w:val="000000"/>
          <w:sz w:val="24"/>
          <w:szCs w:val="24"/>
          <w:shd w:val="clear" w:color="auto" w:fill="FFFFFF"/>
          <w:vertAlign w:val="superscript"/>
        </w:rPr>
        <w:footnoteReference w:id="18"/>
      </w:r>
      <w:r w:rsidRPr="00A534BF">
        <w:rPr>
          <w:rFonts w:ascii="Times New Roman" w:eastAsia="Times New Roman" w:hAnsi="Times New Roman" w:cs="Times New Roman"/>
          <w:color w:val="000000"/>
          <w:sz w:val="24"/>
          <w:szCs w:val="24"/>
          <w:shd w:val="clear" w:color="auto" w:fill="FFFFFF"/>
          <w:lang w:val="uz-Cyrl-UZ"/>
        </w:rPr>
        <w:t>.</w:t>
      </w:r>
    </w:p>
    <w:p w14:paraId="0D068A2C" w14:textId="5F44C3D4" w:rsidR="002A065A" w:rsidRPr="00A534BF" w:rsidRDefault="009C56E7" w:rsidP="003B74A4">
      <w:pPr>
        <w:rPr>
          <w:rFonts w:ascii="Times New Roman" w:hAnsi="Times New Roman" w:cs="Times New Roman"/>
          <w:sz w:val="24"/>
          <w:szCs w:val="24"/>
          <w:lang w:val="es-ES_tradnl"/>
        </w:rPr>
      </w:pPr>
      <w:r w:rsidRPr="00A534BF">
        <w:rPr>
          <w:rFonts w:ascii="Times New Roman" w:hAnsi="Times New Roman" w:cs="Times New Roman"/>
          <w:sz w:val="24"/>
          <w:szCs w:val="24"/>
          <w:lang w:val="es-ES_tradnl"/>
        </w:rPr>
        <w:t xml:space="preserve">Asimismo, el MERCOSUR presenta niveles muy altos de </w:t>
      </w:r>
      <w:r w:rsidRPr="00A534BF">
        <w:rPr>
          <w:rFonts w:ascii="Times New Roman" w:hAnsi="Times New Roman" w:cs="Times New Roman"/>
          <w:i/>
          <w:sz w:val="24"/>
          <w:szCs w:val="24"/>
          <w:lang w:val="es-ES_tradnl"/>
        </w:rPr>
        <w:t>accidentes y muertes por causas externas</w:t>
      </w:r>
      <w:r w:rsidRPr="00A534BF">
        <w:rPr>
          <w:rFonts w:ascii="Times New Roman" w:hAnsi="Times New Roman" w:cs="Times New Roman"/>
          <w:sz w:val="24"/>
          <w:szCs w:val="24"/>
          <w:lang w:val="es-ES_tradnl"/>
        </w:rPr>
        <w:t xml:space="preserve"> (violencia, homicidios, abusos físico, sexual y psicológico etc.). La violencia intrafamiliar es una realidad a la que están sometidas en mayor medida las mujeres y los niños de muchos de los hogares de los países del MERCOSUR y requiere de respuestas integrales, tanto desde los sistemas de salud y de educación</w:t>
      </w:r>
      <w:r w:rsidR="002A065A" w:rsidRPr="00A534BF">
        <w:rPr>
          <w:rStyle w:val="Refdenotaalpie"/>
          <w:rFonts w:ascii="Times New Roman" w:hAnsi="Times New Roman" w:cs="Times New Roman"/>
          <w:sz w:val="24"/>
          <w:szCs w:val="24"/>
          <w:lang w:val="es-ES_tradnl"/>
        </w:rPr>
        <w:footnoteReference w:id="19"/>
      </w:r>
      <w:r w:rsidR="002A065A" w:rsidRPr="00A534BF">
        <w:rPr>
          <w:rFonts w:ascii="Times New Roman" w:hAnsi="Times New Roman" w:cs="Times New Roman"/>
          <w:sz w:val="24"/>
          <w:szCs w:val="24"/>
          <w:lang w:val="es-ES_tradnl"/>
        </w:rPr>
        <w:t>.</w:t>
      </w:r>
    </w:p>
    <w:p w14:paraId="5737662D" w14:textId="2796700A" w:rsidR="009C56E7" w:rsidRPr="00A534BF" w:rsidRDefault="009C56E7" w:rsidP="003B74A4">
      <w:pPr>
        <w:rPr>
          <w:rFonts w:ascii="Times New Roman" w:hAnsi="Times New Roman" w:cs="Times New Roman"/>
          <w:sz w:val="24"/>
          <w:szCs w:val="24"/>
          <w:lang w:val="es-ES_tradnl"/>
        </w:rPr>
      </w:pPr>
      <w:r w:rsidRPr="00A534BF">
        <w:rPr>
          <w:rFonts w:ascii="Times New Roman" w:hAnsi="Times New Roman" w:cs="Times New Roman"/>
          <w:sz w:val="24"/>
          <w:szCs w:val="24"/>
          <w:lang w:val="es-ES_tradnl"/>
        </w:rPr>
        <w:t>Como observamos en el cuadro</w:t>
      </w:r>
      <w:r w:rsidR="00E76DC6" w:rsidRPr="00A534BF">
        <w:rPr>
          <w:rFonts w:ascii="Times New Roman" w:hAnsi="Times New Roman" w:cs="Times New Roman"/>
          <w:sz w:val="24"/>
          <w:szCs w:val="24"/>
          <w:lang w:val="es-ES_tradnl"/>
        </w:rPr>
        <w:t xml:space="preserve"> N</w:t>
      </w:r>
      <w:r w:rsidR="00E76DC6" w:rsidRPr="00A534BF">
        <w:rPr>
          <w:rFonts w:ascii="Times New Roman" w:hAnsi="Times New Roman" w:cs="Times New Roman"/>
          <w:sz w:val="24"/>
          <w:szCs w:val="24"/>
          <w:vertAlign w:val="superscript"/>
          <w:lang w:val="es-ES_tradnl"/>
        </w:rPr>
        <w:t>ro</w:t>
      </w:r>
      <w:r w:rsidR="00E76DC6" w:rsidRPr="00A534BF">
        <w:rPr>
          <w:rFonts w:ascii="Times New Roman" w:hAnsi="Times New Roman" w:cs="Times New Roman"/>
          <w:sz w:val="24"/>
          <w:szCs w:val="24"/>
          <w:lang w:val="es-ES_tradnl"/>
        </w:rPr>
        <w:t>3</w:t>
      </w:r>
      <w:r w:rsidRPr="00A534BF">
        <w:rPr>
          <w:rFonts w:ascii="Times New Roman" w:hAnsi="Times New Roman" w:cs="Times New Roman"/>
          <w:sz w:val="24"/>
          <w:szCs w:val="24"/>
          <w:lang w:val="es-ES_tradnl"/>
        </w:rPr>
        <w:t xml:space="preserve"> las </w:t>
      </w:r>
      <w:r w:rsidR="00DD0E9F" w:rsidRPr="00A534BF">
        <w:rPr>
          <w:rFonts w:ascii="Times New Roman" w:hAnsi="Times New Roman" w:cs="Times New Roman"/>
          <w:i/>
          <w:sz w:val="24"/>
          <w:szCs w:val="24"/>
          <w:lang w:val="es-ES_tradnl"/>
        </w:rPr>
        <w:t>ECNT</w:t>
      </w:r>
      <w:r w:rsidRPr="00A534BF">
        <w:rPr>
          <w:rFonts w:ascii="Times New Roman" w:hAnsi="Times New Roman" w:cs="Times New Roman"/>
          <w:sz w:val="24"/>
          <w:szCs w:val="24"/>
          <w:lang w:val="es-ES_tradnl"/>
        </w:rPr>
        <w:t xml:space="preserve"> constituyen la principal causa de muerte prematura y evitable en los países del MERCOSUR, así como en  Región</w:t>
      </w:r>
      <w:r w:rsidR="00DD0E9F" w:rsidRPr="00A534BF">
        <w:rPr>
          <w:rFonts w:ascii="Times New Roman" w:hAnsi="Times New Roman" w:cs="Times New Roman"/>
          <w:sz w:val="24"/>
          <w:szCs w:val="24"/>
          <w:lang w:val="es-ES_tradnl"/>
        </w:rPr>
        <w:t xml:space="preserve"> (de las Américas?)</w:t>
      </w:r>
      <w:r w:rsidRPr="00A534BF">
        <w:rPr>
          <w:rFonts w:ascii="Times New Roman" w:hAnsi="Times New Roman" w:cs="Times New Roman"/>
          <w:sz w:val="24"/>
          <w:szCs w:val="24"/>
          <w:lang w:val="es-ES_tradnl"/>
        </w:rPr>
        <w:t>, representando una epidemia global que es responsable de buena parte de la carga sanitaria y económica, que pueden influenciar negativamente el desarrollo de los estados parte del MERCOSUR. La globalización de estilos de vida poco saludables como la falta de actividad física</w:t>
      </w:r>
      <w:r w:rsidR="002A065A" w:rsidRPr="00A534BF">
        <w:rPr>
          <w:rFonts w:ascii="Times New Roman" w:hAnsi="Times New Roman" w:cs="Times New Roman"/>
          <w:sz w:val="24"/>
          <w:szCs w:val="24"/>
          <w:lang w:val="es-ES_tradnl"/>
        </w:rPr>
        <w:t>, comportamientos sedentarios</w:t>
      </w:r>
      <w:r w:rsidRPr="00A534BF">
        <w:rPr>
          <w:rFonts w:ascii="Times New Roman" w:hAnsi="Times New Roman" w:cs="Times New Roman"/>
          <w:sz w:val="24"/>
          <w:szCs w:val="24"/>
          <w:lang w:val="es-ES_tradnl"/>
        </w:rPr>
        <w:t>,</w:t>
      </w:r>
      <w:r w:rsidR="002A065A" w:rsidRPr="00A534BF">
        <w:rPr>
          <w:rFonts w:ascii="Times New Roman" w:hAnsi="Times New Roman" w:cs="Times New Roman"/>
          <w:sz w:val="24"/>
          <w:szCs w:val="24"/>
          <w:lang w:val="es-ES_tradnl"/>
        </w:rPr>
        <w:t xml:space="preserve"> </w:t>
      </w:r>
      <w:r w:rsidRPr="00A534BF">
        <w:rPr>
          <w:rFonts w:ascii="Times New Roman" w:hAnsi="Times New Roman" w:cs="Times New Roman"/>
          <w:sz w:val="24"/>
          <w:szCs w:val="24"/>
          <w:lang w:val="es-ES_tradnl"/>
        </w:rPr>
        <w:t xml:space="preserve">la proliferación de consumo de comidas procesadas y ultra procesadas y la creciente urbanización dan origen a una creciente prevalencia de la obesidad y la diabetes, que ocurren, cada vez más en las etapas tempranas de la vida. </w:t>
      </w:r>
    </w:p>
    <w:p w14:paraId="31B9792E" w14:textId="77777777" w:rsidR="00A819BF" w:rsidRDefault="00A819BF" w:rsidP="003B74A4">
      <w:pPr>
        <w:rPr>
          <w:rStyle w:val="shorttext"/>
          <w:rFonts w:ascii="Times New Roman" w:hAnsi="Times New Roman" w:cs="Times New Roman"/>
          <w:b/>
          <w:color w:val="222222"/>
          <w:sz w:val="24"/>
          <w:szCs w:val="24"/>
          <w:lang w:val="es-ES"/>
        </w:rPr>
      </w:pPr>
    </w:p>
    <w:p w14:paraId="7A1379F1" w14:textId="77777777" w:rsidR="00A534BF" w:rsidRDefault="00A534BF" w:rsidP="003B74A4">
      <w:pPr>
        <w:rPr>
          <w:rStyle w:val="shorttext"/>
          <w:rFonts w:ascii="Times New Roman" w:hAnsi="Times New Roman" w:cs="Times New Roman"/>
          <w:b/>
          <w:color w:val="222222"/>
          <w:sz w:val="24"/>
          <w:szCs w:val="24"/>
          <w:lang w:val="es-ES"/>
        </w:rPr>
      </w:pPr>
    </w:p>
    <w:p w14:paraId="583A12FA" w14:textId="77777777" w:rsidR="00A534BF" w:rsidRPr="00A534BF" w:rsidRDefault="00A534BF" w:rsidP="003B74A4">
      <w:pPr>
        <w:rPr>
          <w:rStyle w:val="shorttext"/>
          <w:rFonts w:ascii="Times New Roman" w:hAnsi="Times New Roman" w:cs="Times New Roman"/>
          <w:b/>
          <w:color w:val="222222"/>
          <w:sz w:val="24"/>
          <w:szCs w:val="24"/>
          <w:lang w:val="es-ES"/>
        </w:rPr>
      </w:pPr>
    </w:p>
    <w:p w14:paraId="777E15BE" w14:textId="7EAEA97A" w:rsidR="002A065A" w:rsidRPr="00A534BF" w:rsidRDefault="002A065A" w:rsidP="003B74A4">
      <w:pPr>
        <w:rPr>
          <w:rStyle w:val="shorttext"/>
          <w:rFonts w:ascii="Times New Roman" w:hAnsi="Times New Roman" w:cs="Times New Roman"/>
          <w:b/>
          <w:color w:val="222222"/>
          <w:sz w:val="24"/>
          <w:szCs w:val="24"/>
          <w:lang w:val="es-ES"/>
        </w:rPr>
      </w:pPr>
      <w:r w:rsidRPr="00A534BF">
        <w:rPr>
          <w:rStyle w:val="shorttext"/>
          <w:rFonts w:ascii="Times New Roman" w:hAnsi="Times New Roman" w:cs="Times New Roman"/>
          <w:b/>
          <w:color w:val="222222"/>
          <w:sz w:val="24"/>
          <w:szCs w:val="24"/>
          <w:lang w:val="es-ES"/>
        </w:rPr>
        <w:t>La Salud en los ámbitos Institucionales del MERCOSUR:</w:t>
      </w:r>
    </w:p>
    <w:p w14:paraId="6B8A705E" w14:textId="45D200E2" w:rsidR="00A819BF" w:rsidRPr="00A534BF" w:rsidRDefault="00A819BF" w:rsidP="003B74A4">
      <w:pPr>
        <w:rPr>
          <w:rFonts w:ascii="Times New Roman" w:hAnsi="Times New Roman" w:cs="Times New Roman"/>
          <w:sz w:val="24"/>
          <w:szCs w:val="24"/>
          <w:lang w:val="es-ES_tradnl"/>
        </w:rPr>
      </w:pPr>
      <w:r w:rsidRPr="00A534BF">
        <w:rPr>
          <w:rFonts w:ascii="Times New Roman" w:hAnsi="Times New Roman" w:cs="Times New Roman"/>
          <w:sz w:val="24"/>
          <w:szCs w:val="24"/>
          <w:lang w:val="es-ES_tradnl"/>
        </w:rPr>
        <w:t>La Salud en el MERCOSUR ha sido abordada desde dos ámbitos institucionales. Por un lado desde el Subgrupo de Trabajo N</w:t>
      </w:r>
      <w:r w:rsidRPr="00A534BF">
        <w:rPr>
          <w:rFonts w:ascii="Times New Roman" w:hAnsi="Times New Roman" w:cs="Times New Roman"/>
          <w:sz w:val="24"/>
          <w:szCs w:val="24"/>
          <w:vertAlign w:val="superscript"/>
          <w:lang w:val="es-ES_tradnl"/>
        </w:rPr>
        <w:t>ro</w:t>
      </w:r>
      <w:r w:rsidRPr="00A534BF">
        <w:rPr>
          <w:rFonts w:ascii="Times New Roman" w:hAnsi="Times New Roman" w:cs="Times New Roman"/>
          <w:sz w:val="24"/>
          <w:szCs w:val="24"/>
          <w:lang w:val="es-ES_tradnl"/>
        </w:rPr>
        <w:t>. 11 – Salud, subordinado al Grupo Mercado Común GMC; y por otro las Reuniones de Ministros de Salud, subordinada al Consejo de Mercado Común.</w:t>
      </w:r>
    </w:p>
    <w:p w14:paraId="77E4EBE2" w14:textId="7C26184E" w:rsidR="00A819BF" w:rsidRPr="00A534BF" w:rsidRDefault="00A819BF" w:rsidP="003B74A4">
      <w:pPr>
        <w:rPr>
          <w:rFonts w:ascii="Times New Roman" w:eastAsia="Calibri" w:hAnsi="Times New Roman" w:cs="Times New Roman"/>
          <w:sz w:val="24"/>
          <w:szCs w:val="24"/>
          <w:lang w:val="es-ES_tradnl"/>
        </w:rPr>
      </w:pPr>
      <w:r w:rsidRPr="00A534BF">
        <w:rPr>
          <w:rFonts w:ascii="Times New Roman" w:hAnsi="Times New Roman" w:cs="Times New Roman"/>
          <w:iCs/>
          <w:sz w:val="24"/>
          <w:szCs w:val="24"/>
          <w:lang w:val="es-ES_tradnl"/>
        </w:rPr>
        <w:t>El Subgrupo de Trabajo N</w:t>
      </w:r>
      <w:r w:rsidRPr="00A534BF">
        <w:rPr>
          <w:rFonts w:ascii="Times New Roman" w:hAnsi="Times New Roman" w:cs="Times New Roman"/>
          <w:iCs/>
          <w:sz w:val="24"/>
          <w:szCs w:val="24"/>
          <w:vertAlign w:val="superscript"/>
          <w:lang w:val="es-ES_tradnl"/>
        </w:rPr>
        <w:t>ro</w:t>
      </w:r>
      <w:r w:rsidR="00A534BF" w:rsidRPr="00A534BF">
        <w:rPr>
          <w:rFonts w:ascii="Times New Roman" w:hAnsi="Times New Roman" w:cs="Times New Roman"/>
          <w:iCs/>
          <w:sz w:val="24"/>
          <w:szCs w:val="24"/>
          <w:vertAlign w:val="superscript"/>
          <w:lang w:val="es-ES_tradnl"/>
        </w:rPr>
        <w:t>.</w:t>
      </w:r>
      <w:r w:rsidRPr="00A534BF">
        <w:rPr>
          <w:rFonts w:ascii="Times New Roman" w:hAnsi="Times New Roman" w:cs="Times New Roman"/>
          <w:iCs/>
          <w:sz w:val="24"/>
          <w:szCs w:val="24"/>
          <w:lang w:val="es-ES_tradnl"/>
        </w:rPr>
        <w:t>11 Salud o SGT 11 fue c</w:t>
      </w:r>
      <w:r w:rsidRPr="00A534BF">
        <w:rPr>
          <w:rFonts w:ascii="Times New Roman" w:hAnsi="Times New Roman" w:cs="Times New Roman"/>
          <w:sz w:val="24"/>
          <w:szCs w:val="24"/>
          <w:lang w:val="es-ES_tradnl"/>
        </w:rPr>
        <w:t xml:space="preserve">reado por la Resolución </w:t>
      </w:r>
      <w:r w:rsidR="00F30204" w:rsidRPr="00A534BF">
        <w:rPr>
          <w:rFonts w:ascii="Times New Roman" w:hAnsi="Times New Roman" w:cs="Times New Roman"/>
          <w:sz w:val="24"/>
          <w:szCs w:val="24"/>
          <w:lang w:val="es-ES_tradnl"/>
        </w:rPr>
        <w:t>N</w:t>
      </w:r>
      <w:r w:rsidRPr="00A534BF">
        <w:rPr>
          <w:rFonts w:ascii="Times New Roman" w:hAnsi="Times New Roman" w:cs="Times New Roman"/>
          <w:sz w:val="24"/>
          <w:szCs w:val="24"/>
          <w:vertAlign w:val="superscript"/>
          <w:lang w:val="es-ES_tradnl"/>
        </w:rPr>
        <w:t>ro</w:t>
      </w:r>
      <w:r w:rsidRPr="00A534BF">
        <w:rPr>
          <w:rFonts w:ascii="Times New Roman" w:hAnsi="Times New Roman" w:cs="Times New Roman"/>
          <w:sz w:val="24"/>
          <w:szCs w:val="24"/>
          <w:lang w:val="es-ES_tradnl"/>
        </w:rPr>
        <w:t>. 151/96 del GMC</w:t>
      </w:r>
      <w:r w:rsidRPr="00A534BF">
        <w:rPr>
          <w:rStyle w:val="Refdenotaalpie"/>
          <w:rFonts w:ascii="Times New Roman" w:eastAsia="Calibri" w:hAnsi="Times New Roman" w:cs="Times New Roman"/>
          <w:sz w:val="24"/>
          <w:szCs w:val="24"/>
          <w:lang w:val="es-ES_tradnl"/>
        </w:rPr>
        <w:footnoteReference w:id="20"/>
      </w:r>
      <w:r w:rsidRPr="00A534BF">
        <w:rPr>
          <w:rFonts w:ascii="Times New Roman" w:hAnsi="Times New Roman" w:cs="Times New Roman"/>
          <w:sz w:val="24"/>
          <w:szCs w:val="24"/>
          <w:lang w:val="es-ES_tradnl"/>
        </w:rPr>
        <w:t>, que es el órgano técnico deliberativo que centraliza el tratamiento de la armonización de las legislaciones nacionales en materia de regulación de la salud, además de la compatibilización de los sistemas de control sanitario entre los Estados-partes. Se trata de la instancia que armoniza parámetros y padrones de calidad de bienes, servicios y factores productivos en el área de la salud, propiciando mecanismos de control sanitario de los Estados-partes con el objetivo de eliminar barreras técnicas al comercio y fortalecer la integración regional. La armonización de normas en el SGT</w:t>
      </w:r>
      <w:r w:rsidRPr="00A534BF">
        <w:rPr>
          <w:rStyle w:val="Refdenotaalpie"/>
          <w:rFonts w:ascii="Times New Roman" w:hAnsi="Times New Roman" w:cs="Times New Roman"/>
          <w:sz w:val="24"/>
          <w:szCs w:val="24"/>
          <w:lang w:val="es-ES_tradnl"/>
        </w:rPr>
        <w:footnoteReference w:id="21"/>
      </w:r>
      <w:r w:rsidRPr="00A534BF">
        <w:rPr>
          <w:rFonts w:ascii="Times New Roman" w:hAnsi="Times New Roman" w:cs="Times New Roman"/>
          <w:sz w:val="24"/>
          <w:szCs w:val="24"/>
          <w:lang w:val="es-ES_tradnl"/>
        </w:rPr>
        <w:t xml:space="preserve"> </w:t>
      </w:r>
      <w:r w:rsidRPr="00A534BF">
        <w:rPr>
          <w:rFonts w:ascii="Times New Roman" w:hAnsi="Times New Roman" w:cs="Times New Roman"/>
          <w:sz w:val="24"/>
          <w:szCs w:val="24"/>
          <w:lang w:val="es-ES_tradnl"/>
        </w:rPr>
        <w:lastRenderedPageBreak/>
        <w:t>permite la promoción de la integración de sistemas y estructuras nacionales, propiciando la mejora de la calidad y de la seguridad de productos y servicios, reduciendo riesgos sanitarios para los ciudadanos de los Estados-parte.</w:t>
      </w:r>
    </w:p>
    <w:p w14:paraId="672BAA6E" w14:textId="1B4D8717" w:rsidR="00A819BF" w:rsidRPr="00A534BF" w:rsidRDefault="00750392" w:rsidP="003B74A4">
      <w:pPr>
        <w:rPr>
          <w:rFonts w:ascii="Times New Roman" w:hAnsi="Times New Roman" w:cs="Times New Roman"/>
          <w:sz w:val="24"/>
          <w:szCs w:val="24"/>
          <w:lang w:val="es-ES_tradnl"/>
        </w:rPr>
      </w:pPr>
      <w:r w:rsidRPr="00A534BF">
        <w:rPr>
          <w:rFonts w:ascii="Times New Roman" w:hAnsi="Times New Roman" w:cs="Times New Roman"/>
          <w:sz w:val="24"/>
          <w:szCs w:val="24"/>
          <w:lang w:val="es-ES_tradnl"/>
        </w:rPr>
        <w:t>Con e</w:t>
      </w:r>
      <w:r w:rsidR="00A819BF" w:rsidRPr="00A534BF">
        <w:rPr>
          <w:rFonts w:ascii="Times New Roman" w:hAnsi="Times New Roman" w:cs="Times New Roman"/>
          <w:sz w:val="24"/>
          <w:szCs w:val="24"/>
          <w:lang w:val="es-ES_tradnl"/>
        </w:rPr>
        <w:t>l imperativo del Tratado de Asunción</w:t>
      </w:r>
      <w:r w:rsidRPr="00A534BF">
        <w:rPr>
          <w:rFonts w:ascii="Times New Roman" w:hAnsi="Times New Roman" w:cs="Times New Roman"/>
          <w:sz w:val="24"/>
          <w:szCs w:val="24"/>
          <w:lang w:val="es-ES_tradnl"/>
        </w:rPr>
        <w:t>,</w:t>
      </w:r>
      <w:r w:rsidR="00A819BF" w:rsidRPr="00A534BF">
        <w:rPr>
          <w:rFonts w:ascii="Times New Roman" w:hAnsi="Times New Roman" w:cs="Times New Roman"/>
          <w:sz w:val="24"/>
          <w:szCs w:val="24"/>
          <w:lang w:val="es-ES_tradnl"/>
        </w:rPr>
        <w:t xml:space="preserve"> referente a la libre circulación de bienes, servicios y factores de producción, la </w:t>
      </w:r>
      <w:r w:rsidR="00A819BF" w:rsidRPr="00A534BF">
        <w:rPr>
          <w:rFonts w:ascii="Times New Roman" w:hAnsi="Times New Roman" w:cs="Times New Roman"/>
          <w:bCs/>
          <w:sz w:val="24"/>
          <w:szCs w:val="24"/>
          <w:lang w:val="es-ES_tradnl"/>
        </w:rPr>
        <w:t>Comisión de Productos de Salud (</w:t>
      </w:r>
      <w:proofErr w:type="spellStart"/>
      <w:r w:rsidR="00A819BF" w:rsidRPr="00A534BF">
        <w:rPr>
          <w:rFonts w:ascii="Times New Roman" w:hAnsi="Times New Roman" w:cs="Times New Roman"/>
          <w:bCs/>
          <w:sz w:val="24"/>
          <w:szCs w:val="24"/>
          <w:lang w:val="es-ES_tradnl"/>
        </w:rPr>
        <w:t>Coprosal</w:t>
      </w:r>
      <w:proofErr w:type="spellEnd"/>
      <w:r w:rsidR="00A819BF" w:rsidRPr="00A534BF">
        <w:rPr>
          <w:rFonts w:ascii="Times New Roman" w:hAnsi="Times New Roman" w:cs="Times New Roman"/>
          <w:bCs/>
          <w:sz w:val="24"/>
          <w:szCs w:val="24"/>
          <w:lang w:val="es-ES_tradnl"/>
        </w:rPr>
        <w:t>)</w:t>
      </w:r>
      <w:r w:rsidR="00A819BF" w:rsidRPr="00A534BF">
        <w:rPr>
          <w:rFonts w:ascii="Times New Roman" w:hAnsi="Times New Roman" w:cs="Times New Roman"/>
          <w:sz w:val="24"/>
          <w:szCs w:val="24"/>
          <w:lang w:val="es-ES_tradnl"/>
        </w:rPr>
        <w:t xml:space="preserve"> busca armonizar padrones de regulación de productos para la salud, para que en su producción sean cumplidos parámetros determinados de calidad. En este sentido, un de los objetivos implícitos del tratado es el reconocimiento mutuo, por los países, de los diferentes registros sanitarios nacionales. Esto implica que las fábricas de medicamentos o de productos de salud deben cumplir criterios idénticos de buenas prácticas de fabricación y sean inspeccionadas en relación a estos criterios en los cuatro Estados-parte que integran el Mercosur.</w:t>
      </w:r>
    </w:p>
    <w:p w14:paraId="11362CA2" w14:textId="3F56BA76" w:rsidR="00A819BF" w:rsidRPr="00A534BF" w:rsidRDefault="00750392" w:rsidP="003B74A4">
      <w:pPr>
        <w:rPr>
          <w:rFonts w:ascii="Times New Roman" w:eastAsia="Calibri" w:hAnsi="Times New Roman" w:cs="Times New Roman"/>
          <w:sz w:val="24"/>
          <w:szCs w:val="24"/>
          <w:lang w:val="es-ES_tradnl"/>
        </w:rPr>
      </w:pPr>
      <w:r w:rsidRPr="00A534BF">
        <w:rPr>
          <w:rFonts w:ascii="Times New Roman" w:hAnsi="Times New Roman" w:cs="Times New Roman"/>
          <w:sz w:val="24"/>
          <w:szCs w:val="24"/>
          <w:lang w:val="es-ES_tradnl"/>
        </w:rPr>
        <w:t xml:space="preserve">Dentro del SGT </w:t>
      </w:r>
      <w:r w:rsidR="00A534BF" w:rsidRPr="00A534BF">
        <w:rPr>
          <w:rFonts w:ascii="Times New Roman" w:hAnsi="Times New Roman" w:cs="Times New Roman"/>
          <w:iCs/>
          <w:sz w:val="24"/>
          <w:szCs w:val="24"/>
          <w:lang w:val="es-ES_tradnl"/>
        </w:rPr>
        <w:t>N</w:t>
      </w:r>
      <w:r w:rsidR="00A534BF" w:rsidRPr="00A534BF">
        <w:rPr>
          <w:rFonts w:ascii="Times New Roman" w:hAnsi="Times New Roman" w:cs="Times New Roman"/>
          <w:iCs/>
          <w:sz w:val="24"/>
          <w:szCs w:val="24"/>
          <w:vertAlign w:val="superscript"/>
          <w:lang w:val="es-ES_tradnl"/>
        </w:rPr>
        <w:t>ro.</w:t>
      </w:r>
      <w:r w:rsidR="00A534BF">
        <w:rPr>
          <w:rFonts w:ascii="Times New Roman" w:hAnsi="Times New Roman" w:cs="Times New Roman"/>
          <w:iCs/>
          <w:sz w:val="24"/>
          <w:szCs w:val="24"/>
          <w:lang w:val="es-ES_tradnl"/>
        </w:rPr>
        <w:t>11</w:t>
      </w:r>
      <w:r w:rsidRPr="00A534BF">
        <w:rPr>
          <w:rFonts w:ascii="Times New Roman" w:hAnsi="Times New Roman" w:cs="Times New Roman"/>
          <w:sz w:val="24"/>
          <w:szCs w:val="24"/>
          <w:lang w:val="es-ES_tradnl"/>
        </w:rPr>
        <w:t xml:space="preserve"> Salud es la </w:t>
      </w:r>
      <w:r w:rsidR="00A819BF" w:rsidRPr="00A534BF">
        <w:rPr>
          <w:rFonts w:ascii="Times New Roman" w:hAnsi="Times New Roman" w:cs="Times New Roman"/>
          <w:bCs/>
          <w:sz w:val="24"/>
          <w:szCs w:val="24"/>
          <w:lang w:val="es-ES_tradnl"/>
        </w:rPr>
        <w:t>Comisión de Vigilancia en Salud (</w:t>
      </w:r>
      <w:proofErr w:type="spellStart"/>
      <w:r w:rsidR="00A819BF" w:rsidRPr="00A534BF">
        <w:rPr>
          <w:rFonts w:ascii="Times New Roman" w:hAnsi="Times New Roman" w:cs="Times New Roman"/>
          <w:bCs/>
          <w:sz w:val="24"/>
          <w:szCs w:val="24"/>
          <w:lang w:val="es-ES_tradnl"/>
        </w:rPr>
        <w:t>Covigsal</w:t>
      </w:r>
      <w:proofErr w:type="spellEnd"/>
      <w:r w:rsidR="00A819BF" w:rsidRPr="00A534BF">
        <w:rPr>
          <w:rFonts w:ascii="Times New Roman" w:hAnsi="Times New Roman" w:cs="Times New Roman"/>
          <w:bCs/>
          <w:sz w:val="24"/>
          <w:szCs w:val="24"/>
          <w:lang w:val="es-ES_tradnl"/>
        </w:rPr>
        <w:t>)</w:t>
      </w:r>
      <w:r w:rsidRPr="00A534BF">
        <w:rPr>
          <w:rFonts w:ascii="Times New Roman" w:hAnsi="Times New Roman" w:cs="Times New Roman"/>
          <w:bCs/>
          <w:sz w:val="24"/>
          <w:szCs w:val="24"/>
          <w:lang w:val="es-ES_tradnl"/>
        </w:rPr>
        <w:t xml:space="preserve"> la que </w:t>
      </w:r>
      <w:r w:rsidR="00A819BF" w:rsidRPr="00A534BF">
        <w:rPr>
          <w:rFonts w:ascii="Times New Roman" w:hAnsi="Times New Roman" w:cs="Times New Roman"/>
          <w:sz w:val="24"/>
          <w:szCs w:val="24"/>
          <w:lang w:val="es-ES_tradnl"/>
        </w:rPr>
        <w:t xml:space="preserve"> armoniza procedimientos de vigilancia epidemiológica y de puertos, aeropuertos y fronteras para que todo el que ingresa en los países del Mercosur sea sometido a controles y reglas sanitarias idénticas, todas de acuerdo con el Reglamento Sanitario Internacional (2005).</w:t>
      </w:r>
      <w:r w:rsidR="00A819BF" w:rsidRPr="00A534BF">
        <w:rPr>
          <w:rStyle w:val="Refdenotaalpie"/>
          <w:rFonts w:ascii="Times New Roman" w:eastAsia="Calibri" w:hAnsi="Times New Roman" w:cs="Times New Roman"/>
          <w:sz w:val="24"/>
          <w:szCs w:val="24"/>
          <w:lang w:val="es-ES_tradnl"/>
        </w:rPr>
        <w:footnoteReference w:id="22"/>
      </w:r>
      <w:r w:rsidR="00A819BF" w:rsidRPr="00A534BF">
        <w:rPr>
          <w:rFonts w:ascii="Times New Roman" w:hAnsi="Times New Roman" w:cs="Times New Roman"/>
          <w:sz w:val="24"/>
          <w:szCs w:val="24"/>
          <w:lang w:val="es-ES_tradnl"/>
        </w:rPr>
        <w:t xml:space="preserve"> La </w:t>
      </w:r>
      <w:proofErr w:type="spellStart"/>
      <w:r w:rsidR="00A819BF" w:rsidRPr="00A534BF">
        <w:rPr>
          <w:rFonts w:ascii="Times New Roman" w:hAnsi="Times New Roman" w:cs="Times New Roman"/>
          <w:bCs/>
          <w:sz w:val="24"/>
          <w:szCs w:val="24"/>
          <w:lang w:val="es-ES_tradnl"/>
        </w:rPr>
        <w:t>Covigsal</w:t>
      </w:r>
      <w:proofErr w:type="spellEnd"/>
      <w:r w:rsidR="00A819BF" w:rsidRPr="00A534BF">
        <w:rPr>
          <w:rFonts w:ascii="Times New Roman" w:hAnsi="Times New Roman" w:cs="Times New Roman"/>
          <w:sz w:val="24"/>
          <w:szCs w:val="24"/>
          <w:lang w:val="es-ES_tradnl"/>
        </w:rPr>
        <w:t xml:space="preserve"> también es un mecanismo virtuoso de intercambio de informaciones referente a enfermedades de notificación obligatoria entre los Estados-parte, lo que ha tenido éxito durante la potencial pandemia de influenza A (H1N1) de 2009. </w:t>
      </w:r>
      <w:r w:rsidRPr="00A534BF">
        <w:rPr>
          <w:rFonts w:ascii="Times New Roman" w:hAnsi="Times New Roman" w:cs="Times New Roman"/>
          <w:sz w:val="24"/>
          <w:szCs w:val="24"/>
          <w:lang w:val="es-ES_tradnl"/>
        </w:rPr>
        <w:t xml:space="preserve"> Las ECNT han aparecido en la pauta negociadora de esta Comisión visando el desarrollo de sistemas de vigilancia de las referidas enfermedades. </w:t>
      </w:r>
    </w:p>
    <w:p w14:paraId="2F7B9635" w14:textId="7919AF39" w:rsidR="00A819BF" w:rsidRPr="00A534BF" w:rsidRDefault="00A819BF" w:rsidP="003B74A4">
      <w:pPr>
        <w:rPr>
          <w:rFonts w:ascii="Times New Roman" w:eastAsia="Calibri" w:hAnsi="Times New Roman" w:cs="Times New Roman"/>
          <w:sz w:val="24"/>
          <w:szCs w:val="24"/>
          <w:lang w:val="es-ES_tradnl"/>
        </w:rPr>
      </w:pPr>
      <w:r w:rsidRPr="00A534BF">
        <w:rPr>
          <w:rFonts w:ascii="Times New Roman" w:hAnsi="Times New Roman" w:cs="Times New Roman"/>
          <w:sz w:val="24"/>
          <w:szCs w:val="24"/>
          <w:lang w:val="es-ES_tradnl"/>
        </w:rPr>
        <w:t xml:space="preserve">Este foro fue creado por la Decisión </w:t>
      </w:r>
      <w:r w:rsidR="00750392" w:rsidRPr="00A534BF">
        <w:rPr>
          <w:rFonts w:ascii="Times New Roman" w:hAnsi="Times New Roman" w:cs="Times New Roman"/>
          <w:sz w:val="24"/>
          <w:szCs w:val="24"/>
          <w:lang w:val="es-ES_tradnl"/>
        </w:rPr>
        <w:t>N</w:t>
      </w:r>
      <w:r w:rsidR="00750392" w:rsidRPr="00A534BF">
        <w:rPr>
          <w:rFonts w:ascii="Times New Roman" w:hAnsi="Times New Roman" w:cs="Times New Roman"/>
          <w:sz w:val="24"/>
          <w:szCs w:val="24"/>
          <w:vertAlign w:val="superscript"/>
          <w:lang w:val="es-ES_tradnl"/>
        </w:rPr>
        <w:t>ro.</w:t>
      </w:r>
      <w:r w:rsidRPr="00A534BF">
        <w:rPr>
          <w:rFonts w:ascii="Times New Roman" w:hAnsi="Times New Roman" w:cs="Times New Roman"/>
          <w:sz w:val="24"/>
          <w:szCs w:val="24"/>
          <w:lang w:val="es-ES_tradnl"/>
        </w:rPr>
        <w:t>3/95 del CMC y tiene la función de “proponer al CMC medidas referentes a la coordinación de políticas del área de la salud para el Mercosur”. Trabaja básicamente en la “priorización conjunta de temas de políticas de salud y en la armonización futura de soluciones compartidas o de acciones promotoras de políticas de salud, en áreas que los ministros consideren prioritarias”.</w:t>
      </w:r>
      <w:r w:rsidR="00750392" w:rsidRPr="00A534BF">
        <w:rPr>
          <w:rFonts w:ascii="Times New Roman" w:eastAsia="Calibri" w:hAnsi="Times New Roman" w:cs="Times New Roman"/>
          <w:sz w:val="24"/>
          <w:szCs w:val="24"/>
          <w:lang w:val="es-ES_tradnl"/>
        </w:rPr>
        <w:t xml:space="preserve"> </w:t>
      </w:r>
      <w:r w:rsidRPr="00A534BF">
        <w:rPr>
          <w:rFonts w:ascii="Times New Roman" w:eastAsia="Calibri" w:hAnsi="Times New Roman" w:cs="Times New Roman"/>
          <w:sz w:val="24"/>
          <w:szCs w:val="24"/>
          <w:lang w:val="es-ES_tradnl"/>
        </w:rPr>
        <w:t>El Acuerdo</w:t>
      </w:r>
      <w:r w:rsidR="00750392" w:rsidRPr="00A534BF">
        <w:rPr>
          <w:rFonts w:ascii="Times New Roman" w:eastAsia="Calibri" w:hAnsi="Times New Roman" w:cs="Times New Roman"/>
          <w:sz w:val="24"/>
          <w:szCs w:val="24"/>
          <w:lang w:val="es-ES_tradnl"/>
        </w:rPr>
        <w:t xml:space="preserve"> N</w:t>
      </w:r>
      <w:r w:rsidR="00750392" w:rsidRPr="00A534BF">
        <w:rPr>
          <w:rFonts w:ascii="Times New Roman" w:hAnsi="Times New Roman" w:cs="Times New Roman"/>
          <w:sz w:val="24"/>
          <w:szCs w:val="24"/>
          <w:vertAlign w:val="superscript"/>
          <w:lang w:val="es-ES_tradnl"/>
        </w:rPr>
        <w:t>ro.</w:t>
      </w:r>
      <w:r w:rsidRPr="00A534BF">
        <w:rPr>
          <w:rFonts w:ascii="Times New Roman" w:eastAsia="Calibri" w:hAnsi="Times New Roman" w:cs="Times New Roman"/>
          <w:sz w:val="24"/>
          <w:szCs w:val="24"/>
          <w:lang w:val="es-ES_tradnl"/>
        </w:rPr>
        <w:t xml:space="preserve"> </w:t>
      </w:r>
      <w:r w:rsidRPr="00A534BF">
        <w:rPr>
          <w:rFonts w:ascii="Times New Roman" w:hAnsi="Times New Roman" w:cs="Times New Roman"/>
          <w:sz w:val="24"/>
          <w:szCs w:val="24"/>
          <w:lang w:val="es-ES_tradnl"/>
        </w:rPr>
        <w:t>1/1996 de la RMS del Mercosur lo estableció como “foro de nivel político dedicado a la discusión y el encaminamiento de soluciones negociadas referentes a temas de interés para la salud pública” (art. 5</w:t>
      </w:r>
      <w:r w:rsidRPr="00A534BF">
        <w:rPr>
          <w:rFonts w:ascii="Times New Roman" w:hAnsi="Times New Roman" w:cs="Times New Roman"/>
          <w:sz w:val="24"/>
          <w:szCs w:val="24"/>
          <w:vertAlign w:val="superscript"/>
          <w:lang w:val="es-ES_tradnl"/>
        </w:rPr>
        <w:t>o</w:t>
      </w:r>
      <w:r w:rsidRPr="00A534BF">
        <w:rPr>
          <w:rFonts w:ascii="Times New Roman" w:hAnsi="Times New Roman" w:cs="Times New Roman"/>
          <w:sz w:val="24"/>
          <w:szCs w:val="24"/>
          <w:lang w:val="es-ES_tradnl"/>
        </w:rPr>
        <w:t>), en el cual se deben “definir los principios y la política de protección de la salud pública como marco normativo básico para la armonización de legislaciones en el campo de la salud en el ámbito del Mercosur” (art. 6</w:t>
      </w:r>
      <w:r w:rsidRPr="00A534BF">
        <w:rPr>
          <w:rFonts w:ascii="Times New Roman" w:hAnsi="Times New Roman" w:cs="Times New Roman"/>
          <w:sz w:val="24"/>
          <w:szCs w:val="24"/>
          <w:vertAlign w:val="superscript"/>
          <w:lang w:val="es-ES_tradnl"/>
        </w:rPr>
        <w:t>o</w:t>
      </w:r>
      <w:r w:rsidRPr="00A534BF">
        <w:rPr>
          <w:rFonts w:ascii="Times New Roman" w:hAnsi="Times New Roman" w:cs="Times New Roman"/>
          <w:sz w:val="24"/>
          <w:szCs w:val="24"/>
          <w:lang w:val="es-ES_tradnl"/>
        </w:rPr>
        <w:t>) y “promover, acompañar y evaluar el resultado de las negociaciones referentes a temas sanitarios en el Mercosur” (art.7</w:t>
      </w:r>
      <w:r w:rsidRPr="00A534BF">
        <w:rPr>
          <w:rFonts w:ascii="Times New Roman" w:hAnsi="Times New Roman" w:cs="Times New Roman"/>
          <w:sz w:val="24"/>
          <w:szCs w:val="24"/>
          <w:vertAlign w:val="superscript"/>
          <w:lang w:val="es-ES_tradnl"/>
        </w:rPr>
        <w:t>o</w:t>
      </w:r>
      <w:r w:rsidRPr="00A534BF">
        <w:rPr>
          <w:rFonts w:ascii="Times New Roman" w:hAnsi="Times New Roman" w:cs="Times New Roman"/>
          <w:sz w:val="24"/>
          <w:szCs w:val="24"/>
          <w:lang w:val="es-ES_tradnl"/>
        </w:rPr>
        <w:t>), así como “formular y apoyar la implementación de programas y acciones conjuntas de protección y atención a la salud y de prevención de los riesgos generados por la utilización de productos y servicios y por el ambiente” (art. 8</w:t>
      </w:r>
      <w:r w:rsidRPr="00A534BF">
        <w:rPr>
          <w:rFonts w:ascii="Times New Roman" w:hAnsi="Times New Roman" w:cs="Times New Roman"/>
          <w:sz w:val="24"/>
          <w:szCs w:val="24"/>
          <w:vertAlign w:val="superscript"/>
          <w:lang w:val="es-ES_tradnl"/>
        </w:rPr>
        <w:t>o</w:t>
      </w:r>
      <w:r w:rsidRPr="00A534BF">
        <w:rPr>
          <w:rFonts w:ascii="Times New Roman" w:hAnsi="Times New Roman" w:cs="Times New Roman"/>
          <w:sz w:val="24"/>
          <w:szCs w:val="24"/>
          <w:lang w:val="es-ES_tradnl"/>
        </w:rPr>
        <w:t>).</w:t>
      </w:r>
    </w:p>
    <w:p w14:paraId="333E2CD9" w14:textId="1A12A707" w:rsidR="00A819BF" w:rsidRPr="00A534BF" w:rsidRDefault="00A819BF" w:rsidP="003B74A4">
      <w:pPr>
        <w:rPr>
          <w:rFonts w:ascii="Times New Roman" w:hAnsi="Times New Roman" w:cs="Times New Roman"/>
          <w:sz w:val="24"/>
          <w:szCs w:val="24"/>
          <w:lang w:val="es-ES_tradnl"/>
        </w:rPr>
      </w:pPr>
      <w:r w:rsidRPr="00A534BF">
        <w:rPr>
          <w:rFonts w:ascii="Times New Roman" w:eastAsia="Calibri" w:hAnsi="Times New Roman" w:cs="Times New Roman"/>
          <w:sz w:val="24"/>
          <w:szCs w:val="24"/>
          <w:lang w:val="es-ES_tradnl"/>
        </w:rPr>
        <w:lastRenderedPageBreak/>
        <w:t>Las RMS</w:t>
      </w:r>
      <w:r w:rsidRPr="00A534BF">
        <w:rPr>
          <w:rFonts w:ascii="Times New Roman" w:hAnsi="Times New Roman" w:cs="Times New Roman"/>
          <w:sz w:val="24"/>
          <w:szCs w:val="24"/>
          <w:lang w:val="es-ES_tradnl"/>
        </w:rPr>
        <w:t xml:space="preserve"> del Mercosur operan por intermedio de un comité de coordinadores nacionales y de comisiones intergubernamentales, las cuales asumen el tratamiento técnico de los temas, proponiendo proyectos de acuerdos, posteriormente abordados y aprobados por los ministros de Salud. </w:t>
      </w:r>
      <w:r w:rsidR="00684523" w:rsidRPr="00A534BF">
        <w:rPr>
          <w:rFonts w:ascii="Times New Roman" w:hAnsi="Times New Roman" w:cs="Times New Roman"/>
          <w:sz w:val="24"/>
          <w:szCs w:val="24"/>
          <w:lang w:val="es-ES_tradnl"/>
        </w:rPr>
        <w:t>En el cuadro a continuación se presenta todo lo que se ha hecho hasta ahora  desde el ámbito subregional vinculado a la ECNT.</w:t>
      </w:r>
    </w:p>
    <w:p w14:paraId="3B151E33" w14:textId="77777777" w:rsidR="002A065A" w:rsidRPr="00A534BF" w:rsidRDefault="002A065A" w:rsidP="003B74A4">
      <w:pPr>
        <w:rPr>
          <w:rStyle w:val="shorttext"/>
          <w:rFonts w:ascii="Times New Roman" w:hAnsi="Times New Roman" w:cs="Times New Roman"/>
          <w:b/>
          <w:color w:val="222222"/>
          <w:sz w:val="24"/>
          <w:szCs w:val="24"/>
          <w:lang w:val="es-ES"/>
        </w:rPr>
      </w:pPr>
    </w:p>
    <w:p w14:paraId="0357A9CA" w14:textId="77777777" w:rsidR="00174094" w:rsidRPr="00A534BF" w:rsidRDefault="00042528" w:rsidP="003B74A4">
      <w:pPr>
        <w:rPr>
          <w:rStyle w:val="shorttext"/>
          <w:rFonts w:ascii="Times New Roman" w:hAnsi="Times New Roman" w:cs="Times New Roman"/>
          <w:b/>
          <w:color w:val="222222"/>
          <w:sz w:val="24"/>
          <w:szCs w:val="24"/>
          <w:lang w:val="es-ES"/>
        </w:rPr>
      </w:pPr>
      <w:r w:rsidRPr="00A534BF">
        <w:rPr>
          <w:rStyle w:val="shorttext"/>
          <w:rFonts w:ascii="Times New Roman" w:hAnsi="Times New Roman" w:cs="Times New Roman"/>
          <w:b/>
          <w:color w:val="222222"/>
          <w:sz w:val="24"/>
          <w:szCs w:val="24"/>
          <w:lang w:val="es-ES"/>
        </w:rPr>
        <w:t xml:space="preserve">Que han hecho los Estados </w:t>
      </w:r>
      <w:r w:rsidR="008559E9" w:rsidRPr="00A534BF">
        <w:rPr>
          <w:rStyle w:val="shorttext"/>
          <w:rFonts w:ascii="Times New Roman" w:hAnsi="Times New Roman" w:cs="Times New Roman"/>
          <w:b/>
          <w:color w:val="222222"/>
          <w:sz w:val="24"/>
          <w:szCs w:val="24"/>
          <w:lang w:val="es-ES"/>
        </w:rPr>
        <w:t xml:space="preserve">Parte </w:t>
      </w:r>
      <w:r w:rsidRPr="00A534BF">
        <w:rPr>
          <w:rStyle w:val="shorttext"/>
          <w:rFonts w:ascii="Times New Roman" w:hAnsi="Times New Roman" w:cs="Times New Roman"/>
          <w:b/>
          <w:color w:val="222222"/>
          <w:sz w:val="24"/>
          <w:szCs w:val="24"/>
          <w:lang w:val="es-ES"/>
        </w:rPr>
        <w:t>y el MERCOSUR sobre las ECNT?</w:t>
      </w:r>
    </w:p>
    <w:p w14:paraId="55194AE7" w14:textId="433E3CED" w:rsidR="00174094" w:rsidRPr="00A534BF" w:rsidRDefault="006E458D" w:rsidP="003B74A4">
      <w:pPr>
        <w:rPr>
          <w:rStyle w:val="shorttext"/>
          <w:rFonts w:ascii="Times New Roman" w:hAnsi="Times New Roman" w:cs="Times New Roman"/>
          <w:sz w:val="24"/>
          <w:szCs w:val="24"/>
          <w:lang w:val="es-ES_tradnl"/>
        </w:rPr>
      </w:pPr>
      <w:r w:rsidRPr="00A534BF">
        <w:rPr>
          <w:rFonts w:ascii="Times New Roman" w:hAnsi="Times New Roman" w:cs="Times New Roman"/>
          <w:sz w:val="24"/>
          <w:szCs w:val="24"/>
          <w:lang w:val="es-ES_tradnl"/>
        </w:rPr>
        <w:t xml:space="preserve">Los países que </w:t>
      </w:r>
      <w:proofErr w:type="spellStart"/>
      <w:r w:rsidRPr="00A534BF">
        <w:rPr>
          <w:rFonts w:ascii="Times New Roman" w:hAnsi="Times New Roman" w:cs="Times New Roman"/>
          <w:sz w:val="24"/>
          <w:szCs w:val="24"/>
          <w:lang w:val="es-ES_tradnl"/>
        </w:rPr>
        <w:t>componene</w:t>
      </w:r>
      <w:proofErr w:type="spellEnd"/>
      <w:r w:rsidRPr="00A534BF">
        <w:rPr>
          <w:rFonts w:ascii="Times New Roman" w:hAnsi="Times New Roman" w:cs="Times New Roman"/>
          <w:sz w:val="24"/>
          <w:szCs w:val="24"/>
          <w:lang w:val="es-ES_tradnl"/>
        </w:rPr>
        <w:t xml:space="preserve"> el MERCOSUR</w:t>
      </w:r>
      <w:r w:rsidR="00C65A6E" w:rsidRPr="00A534BF">
        <w:rPr>
          <w:rFonts w:ascii="Times New Roman" w:hAnsi="Times New Roman" w:cs="Times New Roman"/>
          <w:sz w:val="24"/>
          <w:szCs w:val="24"/>
          <w:lang w:val="es-ES_tradnl"/>
        </w:rPr>
        <w:t xml:space="preserve">, a nivel nacional, </w:t>
      </w:r>
      <w:r w:rsidRPr="00A534BF">
        <w:rPr>
          <w:rFonts w:ascii="Times New Roman" w:hAnsi="Times New Roman" w:cs="Times New Roman"/>
          <w:sz w:val="24"/>
          <w:szCs w:val="24"/>
          <w:lang w:val="es-ES_tradnl"/>
        </w:rPr>
        <w:t xml:space="preserve"> han venido implementando políticas en relación a las ECNT</w:t>
      </w:r>
      <w:r w:rsidR="00AD5D40" w:rsidRPr="00A534BF">
        <w:rPr>
          <w:rFonts w:ascii="Times New Roman" w:hAnsi="Times New Roman" w:cs="Times New Roman"/>
          <w:sz w:val="24"/>
          <w:szCs w:val="24"/>
          <w:lang w:val="es-ES_tradnl"/>
        </w:rPr>
        <w:t>;</w:t>
      </w:r>
      <w:r w:rsidRPr="00A534BF">
        <w:rPr>
          <w:rFonts w:ascii="Times New Roman" w:hAnsi="Times New Roman" w:cs="Times New Roman"/>
          <w:sz w:val="24"/>
          <w:szCs w:val="24"/>
          <w:lang w:val="es-ES_tradnl"/>
        </w:rPr>
        <w:t xml:space="preserve"> el cuadro N</w:t>
      </w:r>
      <w:r w:rsidRPr="00A534BF">
        <w:rPr>
          <w:rFonts w:ascii="Times New Roman" w:hAnsi="Times New Roman" w:cs="Times New Roman"/>
          <w:sz w:val="24"/>
          <w:szCs w:val="24"/>
          <w:vertAlign w:val="superscript"/>
          <w:lang w:val="es-ES_tradnl"/>
        </w:rPr>
        <w:t>ro</w:t>
      </w:r>
      <w:r w:rsidRPr="00A534BF">
        <w:rPr>
          <w:rFonts w:ascii="Times New Roman" w:hAnsi="Times New Roman" w:cs="Times New Roman"/>
          <w:sz w:val="24"/>
          <w:szCs w:val="24"/>
          <w:lang w:val="es-ES_tradnl"/>
        </w:rPr>
        <w:t>5 que se presenta a continuación presenta las medidas que han venido implementando al respecto.</w:t>
      </w:r>
    </w:p>
    <w:p w14:paraId="465B5350" w14:textId="25F16667" w:rsidR="00432646" w:rsidRPr="00A534BF" w:rsidRDefault="006E458D" w:rsidP="00F30204">
      <w:pPr>
        <w:jc w:val="both"/>
        <w:rPr>
          <w:rFonts w:ascii="Times New Roman" w:hAnsi="Times New Roman" w:cs="Times New Roman"/>
          <w:sz w:val="24"/>
          <w:szCs w:val="24"/>
          <w:lang w:val="es-AR"/>
        </w:rPr>
      </w:pPr>
      <w:r w:rsidRPr="00A534BF">
        <w:rPr>
          <w:rStyle w:val="shorttext"/>
          <w:rFonts w:ascii="Times New Roman" w:hAnsi="Times New Roman" w:cs="Times New Roman"/>
          <w:b/>
          <w:color w:val="222222"/>
          <w:sz w:val="24"/>
          <w:szCs w:val="24"/>
          <w:lang w:val="es-ES"/>
        </w:rPr>
        <w:t xml:space="preserve">Cuadro </w:t>
      </w:r>
      <w:proofErr w:type="spellStart"/>
      <w:r w:rsidRPr="00A534BF">
        <w:rPr>
          <w:rStyle w:val="shorttext"/>
          <w:rFonts w:ascii="Times New Roman" w:hAnsi="Times New Roman" w:cs="Times New Roman"/>
          <w:b/>
          <w:color w:val="222222"/>
          <w:sz w:val="24"/>
          <w:szCs w:val="24"/>
          <w:lang w:val="es-ES"/>
        </w:rPr>
        <w:t>N</w:t>
      </w:r>
      <w:r w:rsidRPr="00A534BF">
        <w:rPr>
          <w:rStyle w:val="shorttext"/>
          <w:rFonts w:ascii="Times New Roman" w:hAnsi="Times New Roman" w:cs="Times New Roman"/>
          <w:b/>
          <w:color w:val="222222"/>
          <w:sz w:val="24"/>
          <w:szCs w:val="24"/>
          <w:vertAlign w:val="superscript"/>
          <w:lang w:val="es-ES"/>
        </w:rPr>
        <w:t>ro</w:t>
      </w:r>
      <w:proofErr w:type="spellEnd"/>
      <w:r w:rsidRPr="00A534BF">
        <w:rPr>
          <w:rStyle w:val="shorttext"/>
          <w:rFonts w:ascii="Times New Roman" w:hAnsi="Times New Roman" w:cs="Times New Roman"/>
          <w:b/>
          <w:color w:val="222222"/>
          <w:sz w:val="24"/>
          <w:szCs w:val="24"/>
          <w:lang w:val="es-ES"/>
        </w:rPr>
        <w:t xml:space="preserve"> 5-</w:t>
      </w:r>
      <w:r w:rsidR="003A2FF7" w:rsidRPr="00A534BF">
        <w:rPr>
          <w:rStyle w:val="shorttext"/>
          <w:rFonts w:ascii="Times New Roman" w:hAnsi="Times New Roman" w:cs="Times New Roman"/>
          <w:b/>
          <w:color w:val="222222"/>
          <w:sz w:val="24"/>
          <w:szCs w:val="24"/>
          <w:lang w:val="es-ES"/>
        </w:rPr>
        <w:t xml:space="preserve">Respuesta de los sistemas </w:t>
      </w:r>
      <w:r w:rsidR="00547063" w:rsidRPr="00A534BF">
        <w:rPr>
          <w:rStyle w:val="shorttext"/>
          <w:rFonts w:ascii="Times New Roman" w:hAnsi="Times New Roman" w:cs="Times New Roman"/>
          <w:b/>
          <w:color w:val="222222"/>
          <w:sz w:val="24"/>
          <w:szCs w:val="24"/>
          <w:lang w:val="es-ES"/>
        </w:rPr>
        <w:t xml:space="preserve">de salud </w:t>
      </w:r>
      <w:r w:rsidR="003A2FF7" w:rsidRPr="00A534BF">
        <w:rPr>
          <w:rStyle w:val="shorttext"/>
          <w:rFonts w:ascii="Times New Roman" w:hAnsi="Times New Roman" w:cs="Times New Roman"/>
          <w:b/>
          <w:color w:val="222222"/>
          <w:sz w:val="24"/>
          <w:szCs w:val="24"/>
          <w:lang w:val="es-ES"/>
        </w:rPr>
        <w:t>de los Estados Parte del MERCOSUR a las ECNT</w:t>
      </w:r>
    </w:p>
    <w:tbl>
      <w:tblPr>
        <w:tblStyle w:val="Tablaconcuadrcula"/>
        <w:tblW w:w="0" w:type="auto"/>
        <w:tblLook w:val="04A0" w:firstRow="1" w:lastRow="0" w:firstColumn="1" w:lastColumn="0" w:noHBand="0" w:noVBand="1"/>
      </w:tblPr>
      <w:tblGrid>
        <w:gridCol w:w="3374"/>
        <w:gridCol w:w="1016"/>
        <w:gridCol w:w="800"/>
        <w:gridCol w:w="1042"/>
        <w:gridCol w:w="986"/>
        <w:gridCol w:w="1276"/>
      </w:tblGrid>
      <w:tr w:rsidR="00174094" w:rsidRPr="00A534BF" w14:paraId="0BDD50F0" w14:textId="77777777" w:rsidTr="00174094">
        <w:tc>
          <w:tcPr>
            <w:tcW w:w="3376" w:type="dxa"/>
            <w:shd w:val="clear" w:color="auto" w:fill="000000" w:themeFill="text1"/>
          </w:tcPr>
          <w:p w14:paraId="38980445" w14:textId="77777777" w:rsidR="003A2FF7" w:rsidRPr="00A534BF" w:rsidRDefault="003A2FF7" w:rsidP="00A534BF">
            <w:pPr>
              <w:jc w:val="center"/>
              <w:rPr>
                <w:rFonts w:ascii="Times New Roman" w:hAnsi="Times New Roman" w:cs="Times New Roman"/>
                <w:sz w:val="20"/>
                <w:szCs w:val="20"/>
                <w:lang w:val="es-AR"/>
              </w:rPr>
            </w:pPr>
          </w:p>
        </w:tc>
        <w:tc>
          <w:tcPr>
            <w:tcW w:w="1014" w:type="dxa"/>
            <w:shd w:val="clear" w:color="auto" w:fill="000000" w:themeFill="text1"/>
          </w:tcPr>
          <w:p w14:paraId="3AE8AD99" w14:textId="77777777" w:rsidR="003A2FF7" w:rsidRPr="00A534BF" w:rsidRDefault="003A2FF7"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Argentina</w:t>
            </w:r>
            <w:r w:rsidR="00EC3A84" w:rsidRPr="00A534BF">
              <w:rPr>
                <w:rFonts w:ascii="Times New Roman" w:hAnsi="Times New Roman" w:cs="Times New Roman"/>
                <w:sz w:val="20"/>
                <w:szCs w:val="20"/>
                <w:lang w:val="es-AR"/>
              </w:rPr>
              <w:t xml:space="preserve"> *</w:t>
            </w:r>
          </w:p>
        </w:tc>
        <w:tc>
          <w:tcPr>
            <w:tcW w:w="800" w:type="dxa"/>
            <w:shd w:val="clear" w:color="auto" w:fill="000000" w:themeFill="text1"/>
          </w:tcPr>
          <w:p w14:paraId="0B589AF4" w14:textId="77777777" w:rsidR="003A2FF7" w:rsidRPr="00A534BF" w:rsidRDefault="003A2FF7"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Brasil</w:t>
            </w:r>
          </w:p>
        </w:tc>
        <w:tc>
          <w:tcPr>
            <w:tcW w:w="1042" w:type="dxa"/>
            <w:shd w:val="clear" w:color="auto" w:fill="000000" w:themeFill="text1"/>
          </w:tcPr>
          <w:p w14:paraId="613D4A58" w14:textId="77777777" w:rsidR="003A2FF7" w:rsidRPr="00A534BF" w:rsidRDefault="003A2FF7"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Paraguay</w:t>
            </w:r>
          </w:p>
        </w:tc>
        <w:tc>
          <w:tcPr>
            <w:tcW w:w="986" w:type="dxa"/>
            <w:shd w:val="clear" w:color="auto" w:fill="000000" w:themeFill="text1"/>
          </w:tcPr>
          <w:p w14:paraId="075A0BA8" w14:textId="77777777" w:rsidR="003A2FF7" w:rsidRPr="00A534BF" w:rsidRDefault="003A2FF7"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Uruguay</w:t>
            </w:r>
          </w:p>
        </w:tc>
        <w:tc>
          <w:tcPr>
            <w:tcW w:w="1276" w:type="dxa"/>
            <w:shd w:val="clear" w:color="auto" w:fill="000000" w:themeFill="text1"/>
          </w:tcPr>
          <w:p w14:paraId="247DDEE9" w14:textId="77777777" w:rsidR="003A2FF7" w:rsidRPr="00A534BF" w:rsidRDefault="003A2FF7"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Venezuela</w:t>
            </w:r>
          </w:p>
        </w:tc>
      </w:tr>
      <w:tr w:rsidR="00174094" w:rsidRPr="00A534BF" w14:paraId="4514D6CD" w14:textId="77777777" w:rsidTr="00174094">
        <w:tc>
          <w:tcPr>
            <w:tcW w:w="3376" w:type="dxa"/>
          </w:tcPr>
          <w:p w14:paraId="4476B4D2" w14:textId="77777777" w:rsidR="003A2FF7" w:rsidRPr="00A534BF" w:rsidRDefault="003A2FF7" w:rsidP="00A534BF">
            <w:pPr>
              <w:jc w:val="center"/>
              <w:rPr>
                <w:rFonts w:ascii="Times New Roman" w:hAnsi="Times New Roman" w:cs="Times New Roman"/>
                <w:sz w:val="20"/>
                <w:szCs w:val="20"/>
                <w:lang w:val="es-AR"/>
              </w:rPr>
            </w:pPr>
            <w:r w:rsidRPr="00A534BF">
              <w:rPr>
                <w:rFonts w:ascii="Times New Roman" w:hAnsi="Times New Roman" w:cs="Times New Roman"/>
                <w:color w:val="222222"/>
                <w:sz w:val="20"/>
                <w:szCs w:val="20"/>
                <w:lang w:val="es-ES"/>
              </w:rPr>
              <w:t>Tiene una unidad operativa de ENT / sucursal o departamento dentro del Ministerio de Salud, o equivalente</w:t>
            </w:r>
          </w:p>
        </w:tc>
        <w:tc>
          <w:tcPr>
            <w:tcW w:w="1014" w:type="dxa"/>
            <w:shd w:val="clear" w:color="auto" w:fill="E7E6E6" w:themeFill="background2"/>
          </w:tcPr>
          <w:p w14:paraId="1903A785" w14:textId="77777777" w:rsidR="003A2FF7"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800" w:type="dxa"/>
            <w:shd w:val="clear" w:color="auto" w:fill="E7E6E6" w:themeFill="background2"/>
          </w:tcPr>
          <w:p w14:paraId="3C3E5AE1" w14:textId="77777777" w:rsidR="003A2FF7"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1042" w:type="dxa"/>
            <w:shd w:val="clear" w:color="auto" w:fill="BDD6EE" w:themeFill="accent1" w:themeFillTint="66"/>
          </w:tcPr>
          <w:p w14:paraId="3F31411B" w14:textId="77777777" w:rsidR="003A2FF7"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NO</w:t>
            </w:r>
          </w:p>
        </w:tc>
        <w:tc>
          <w:tcPr>
            <w:tcW w:w="986" w:type="dxa"/>
            <w:shd w:val="clear" w:color="auto" w:fill="E7E6E6" w:themeFill="background2"/>
          </w:tcPr>
          <w:p w14:paraId="5F9B7AB4" w14:textId="77777777" w:rsidR="003A2FF7"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1276" w:type="dxa"/>
            <w:shd w:val="clear" w:color="auto" w:fill="E7E6E6" w:themeFill="background2"/>
          </w:tcPr>
          <w:p w14:paraId="6ABF39AF" w14:textId="77777777" w:rsidR="003A2FF7"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r>
      <w:tr w:rsidR="00174094" w:rsidRPr="00A534BF" w14:paraId="693F0556" w14:textId="77777777" w:rsidTr="00174094">
        <w:tc>
          <w:tcPr>
            <w:tcW w:w="3376" w:type="dxa"/>
          </w:tcPr>
          <w:p w14:paraId="4B814359" w14:textId="77777777" w:rsidR="003A2FF7" w:rsidRPr="00A534BF" w:rsidRDefault="00EC3A84" w:rsidP="00A534BF">
            <w:pPr>
              <w:jc w:val="center"/>
              <w:rPr>
                <w:rFonts w:ascii="Times New Roman" w:hAnsi="Times New Roman" w:cs="Times New Roman"/>
                <w:sz w:val="20"/>
                <w:szCs w:val="20"/>
                <w:lang w:val="es-AR"/>
              </w:rPr>
            </w:pPr>
            <w:r w:rsidRPr="00A534BF">
              <w:rPr>
                <w:rFonts w:ascii="Times New Roman" w:hAnsi="Times New Roman" w:cs="Times New Roman"/>
                <w:color w:val="222222"/>
                <w:sz w:val="20"/>
                <w:szCs w:val="20"/>
                <w:lang w:val="es-ES"/>
              </w:rPr>
              <w:t>Tiene una política, estrategia o plan de acción nacional multisectorial operacional que integra varias ENT y factores de riesgo compartidos</w:t>
            </w:r>
          </w:p>
        </w:tc>
        <w:tc>
          <w:tcPr>
            <w:tcW w:w="1014" w:type="dxa"/>
            <w:shd w:val="clear" w:color="auto" w:fill="BDD6EE" w:themeFill="accent1" w:themeFillTint="66"/>
          </w:tcPr>
          <w:p w14:paraId="3901951C" w14:textId="77777777" w:rsidR="003A2FF7"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NO</w:t>
            </w:r>
          </w:p>
        </w:tc>
        <w:tc>
          <w:tcPr>
            <w:tcW w:w="800" w:type="dxa"/>
            <w:shd w:val="clear" w:color="auto" w:fill="BDD6EE" w:themeFill="accent1" w:themeFillTint="66"/>
          </w:tcPr>
          <w:p w14:paraId="0CC21C9B" w14:textId="77777777" w:rsidR="003A2FF7"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NO</w:t>
            </w:r>
          </w:p>
        </w:tc>
        <w:tc>
          <w:tcPr>
            <w:tcW w:w="1042" w:type="dxa"/>
            <w:shd w:val="clear" w:color="auto" w:fill="BDD6EE" w:themeFill="accent1" w:themeFillTint="66"/>
          </w:tcPr>
          <w:p w14:paraId="0DD01A16" w14:textId="77777777" w:rsidR="003A2FF7"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NO</w:t>
            </w:r>
          </w:p>
        </w:tc>
        <w:tc>
          <w:tcPr>
            <w:tcW w:w="986" w:type="dxa"/>
            <w:shd w:val="clear" w:color="auto" w:fill="BDD6EE" w:themeFill="accent1" w:themeFillTint="66"/>
          </w:tcPr>
          <w:p w14:paraId="0385852E" w14:textId="77777777" w:rsidR="003A2FF7"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NO</w:t>
            </w:r>
          </w:p>
        </w:tc>
        <w:tc>
          <w:tcPr>
            <w:tcW w:w="1276" w:type="dxa"/>
            <w:shd w:val="clear" w:color="auto" w:fill="BDD6EE" w:themeFill="accent1" w:themeFillTint="66"/>
          </w:tcPr>
          <w:p w14:paraId="3452D841" w14:textId="77777777" w:rsidR="003A2FF7"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NO</w:t>
            </w:r>
          </w:p>
        </w:tc>
      </w:tr>
      <w:tr w:rsidR="00174094" w:rsidRPr="00A534BF" w14:paraId="2A9FED2D" w14:textId="77777777" w:rsidTr="00174094">
        <w:tc>
          <w:tcPr>
            <w:tcW w:w="3376" w:type="dxa"/>
          </w:tcPr>
          <w:p w14:paraId="31BC9846" w14:textId="77777777" w:rsidR="003A2FF7" w:rsidRPr="00A534BF" w:rsidRDefault="00EC3A84" w:rsidP="00A534BF">
            <w:pPr>
              <w:jc w:val="center"/>
              <w:rPr>
                <w:rFonts w:ascii="Times New Roman" w:hAnsi="Times New Roman" w:cs="Times New Roman"/>
                <w:color w:val="222222"/>
                <w:sz w:val="20"/>
                <w:szCs w:val="20"/>
                <w:lang w:val="es-ES"/>
              </w:rPr>
            </w:pPr>
            <w:r w:rsidRPr="00A534BF">
              <w:rPr>
                <w:rFonts w:ascii="Times New Roman" w:hAnsi="Times New Roman" w:cs="Times New Roman"/>
                <w:color w:val="222222"/>
                <w:sz w:val="20"/>
                <w:szCs w:val="20"/>
                <w:lang w:val="es-ES"/>
              </w:rPr>
              <w:t>Tiene una política operativa, estrategia o plan de acción para reducir el uso nocivo del alcohol</w:t>
            </w:r>
          </w:p>
        </w:tc>
        <w:tc>
          <w:tcPr>
            <w:tcW w:w="1014" w:type="dxa"/>
            <w:shd w:val="clear" w:color="auto" w:fill="E7E6E6" w:themeFill="background2"/>
          </w:tcPr>
          <w:p w14:paraId="2B2A7BB7" w14:textId="77777777" w:rsidR="003A2FF7"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800" w:type="dxa"/>
            <w:shd w:val="clear" w:color="auto" w:fill="BDD6EE" w:themeFill="accent1" w:themeFillTint="66"/>
          </w:tcPr>
          <w:p w14:paraId="17D8DD7F" w14:textId="77777777" w:rsidR="003A2FF7"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NO</w:t>
            </w:r>
          </w:p>
        </w:tc>
        <w:tc>
          <w:tcPr>
            <w:tcW w:w="1042" w:type="dxa"/>
            <w:shd w:val="clear" w:color="auto" w:fill="E7E6E6" w:themeFill="background2"/>
          </w:tcPr>
          <w:p w14:paraId="75B60595" w14:textId="77777777" w:rsidR="003A2FF7"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986" w:type="dxa"/>
            <w:shd w:val="clear" w:color="auto" w:fill="BDD6EE" w:themeFill="accent1" w:themeFillTint="66"/>
          </w:tcPr>
          <w:p w14:paraId="63012B06" w14:textId="77777777" w:rsidR="003A2FF7"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NO</w:t>
            </w:r>
          </w:p>
        </w:tc>
        <w:tc>
          <w:tcPr>
            <w:tcW w:w="1276" w:type="dxa"/>
            <w:shd w:val="clear" w:color="auto" w:fill="BDD6EE" w:themeFill="accent1" w:themeFillTint="66"/>
          </w:tcPr>
          <w:p w14:paraId="3EDC75CC" w14:textId="77777777" w:rsidR="003A2FF7"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NO</w:t>
            </w:r>
          </w:p>
        </w:tc>
      </w:tr>
      <w:tr w:rsidR="003A2FF7" w:rsidRPr="00A534BF" w14:paraId="78DCA11B" w14:textId="77777777" w:rsidTr="00174094">
        <w:tc>
          <w:tcPr>
            <w:tcW w:w="3376" w:type="dxa"/>
          </w:tcPr>
          <w:p w14:paraId="545A978F" w14:textId="77777777" w:rsidR="003A2FF7" w:rsidRPr="00A534BF" w:rsidRDefault="00EC3A84" w:rsidP="00A534BF">
            <w:pPr>
              <w:jc w:val="center"/>
              <w:rPr>
                <w:rFonts w:ascii="Times New Roman" w:hAnsi="Times New Roman" w:cs="Times New Roman"/>
                <w:sz w:val="20"/>
                <w:szCs w:val="20"/>
                <w:lang w:val="es-AR"/>
              </w:rPr>
            </w:pPr>
            <w:r w:rsidRPr="00A534BF">
              <w:rPr>
                <w:rFonts w:ascii="Times New Roman" w:hAnsi="Times New Roman" w:cs="Times New Roman"/>
                <w:color w:val="222222"/>
                <w:sz w:val="20"/>
                <w:szCs w:val="20"/>
                <w:lang w:val="es-ES"/>
              </w:rPr>
              <w:t>Tiene una política operativa, estrategia o plan de acción para reducir la inactividad física y / o promover la actividad física</w:t>
            </w:r>
          </w:p>
        </w:tc>
        <w:tc>
          <w:tcPr>
            <w:tcW w:w="1014" w:type="dxa"/>
            <w:shd w:val="clear" w:color="auto" w:fill="E7E6E6" w:themeFill="background2"/>
          </w:tcPr>
          <w:p w14:paraId="32753C57" w14:textId="77777777" w:rsidR="003A2FF7"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800" w:type="dxa"/>
            <w:shd w:val="clear" w:color="auto" w:fill="E7E6E6" w:themeFill="background2"/>
          </w:tcPr>
          <w:p w14:paraId="5698A4F4" w14:textId="77777777" w:rsidR="003A2FF7"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1042" w:type="dxa"/>
            <w:shd w:val="clear" w:color="auto" w:fill="E7E6E6" w:themeFill="background2"/>
          </w:tcPr>
          <w:p w14:paraId="38FD0C31" w14:textId="77777777" w:rsidR="003A2FF7"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986" w:type="dxa"/>
            <w:shd w:val="clear" w:color="auto" w:fill="E7E6E6" w:themeFill="background2"/>
          </w:tcPr>
          <w:p w14:paraId="5EC98EB0" w14:textId="77777777" w:rsidR="003A2FF7"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1276" w:type="dxa"/>
            <w:shd w:val="clear" w:color="auto" w:fill="E7E6E6" w:themeFill="background2"/>
          </w:tcPr>
          <w:p w14:paraId="7573DC70" w14:textId="77777777" w:rsidR="003A2FF7"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r>
      <w:tr w:rsidR="00EC3A84" w:rsidRPr="00A534BF" w14:paraId="1F74795D" w14:textId="77777777" w:rsidTr="00174094">
        <w:tc>
          <w:tcPr>
            <w:tcW w:w="3376" w:type="dxa"/>
          </w:tcPr>
          <w:p w14:paraId="431D82B8" w14:textId="77777777" w:rsidR="00EC3A84" w:rsidRPr="00A534BF" w:rsidRDefault="00EC3A84" w:rsidP="00A534BF">
            <w:pPr>
              <w:jc w:val="center"/>
              <w:rPr>
                <w:rFonts w:ascii="Times New Roman" w:hAnsi="Times New Roman" w:cs="Times New Roman"/>
                <w:color w:val="222222"/>
                <w:sz w:val="20"/>
                <w:szCs w:val="20"/>
                <w:lang w:val="es-ES"/>
              </w:rPr>
            </w:pPr>
            <w:r w:rsidRPr="00A534BF">
              <w:rPr>
                <w:rFonts w:ascii="Times New Roman" w:hAnsi="Times New Roman" w:cs="Times New Roman"/>
                <w:color w:val="222222"/>
                <w:sz w:val="20"/>
                <w:szCs w:val="20"/>
                <w:lang w:val="es-ES"/>
              </w:rPr>
              <w:t>Tiene una política operativa, estrategia o plan de acción para reducir la carga del consumo de tabaco</w:t>
            </w:r>
          </w:p>
        </w:tc>
        <w:tc>
          <w:tcPr>
            <w:tcW w:w="1014" w:type="dxa"/>
            <w:shd w:val="clear" w:color="auto" w:fill="E7E6E6" w:themeFill="background2"/>
          </w:tcPr>
          <w:p w14:paraId="5E2C94B3"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800" w:type="dxa"/>
            <w:shd w:val="clear" w:color="auto" w:fill="E7E6E6" w:themeFill="background2"/>
          </w:tcPr>
          <w:p w14:paraId="6F517848"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1042" w:type="dxa"/>
            <w:shd w:val="clear" w:color="auto" w:fill="E7E6E6" w:themeFill="background2"/>
          </w:tcPr>
          <w:p w14:paraId="23805985"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986" w:type="dxa"/>
            <w:shd w:val="clear" w:color="auto" w:fill="E7E6E6" w:themeFill="background2"/>
          </w:tcPr>
          <w:p w14:paraId="0DF7046F"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1276" w:type="dxa"/>
            <w:shd w:val="clear" w:color="auto" w:fill="E7E6E6" w:themeFill="background2"/>
          </w:tcPr>
          <w:p w14:paraId="5871C3E1"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r>
      <w:tr w:rsidR="00EC3A84" w:rsidRPr="00A534BF" w14:paraId="0679BC66" w14:textId="77777777" w:rsidTr="00174094">
        <w:tc>
          <w:tcPr>
            <w:tcW w:w="3376" w:type="dxa"/>
          </w:tcPr>
          <w:p w14:paraId="5260AA78" w14:textId="77777777" w:rsidR="00EC3A84" w:rsidRPr="00A534BF" w:rsidRDefault="00EC3A84" w:rsidP="00A534BF">
            <w:pPr>
              <w:jc w:val="center"/>
              <w:rPr>
                <w:rFonts w:ascii="Times New Roman" w:hAnsi="Times New Roman" w:cs="Times New Roman"/>
                <w:color w:val="222222"/>
                <w:sz w:val="20"/>
                <w:szCs w:val="20"/>
                <w:lang w:val="es-ES"/>
              </w:rPr>
            </w:pPr>
            <w:r w:rsidRPr="00A534BF">
              <w:rPr>
                <w:rFonts w:ascii="Times New Roman" w:hAnsi="Times New Roman" w:cs="Times New Roman"/>
                <w:color w:val="222222"/>
                <w:sz w:val="20"/>
                <w:szCs w:val="20"/>
                <w:lang w:val="es-ES"/>
              </w:rPr>
              <w:t>Tiene una política operativa, estrategia o plan de acción para reducir la dieta poco saludable y / o promover dietas saludables</w:t>
            </w:r>
          </w:p>
        </w:tc>
        <w:tc>
          <w:tcPr>
            <w:tcW w:w="1014" w:type="dxa"/>
            <w:shd w:val="clear" w:color="auto" w:fill="E7E6E6" w:themeFill="background2"/>
          </w:tcPr>
          <w:p w14:paraId="61789495"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800" w:type="dxa"/>
            <w:shd w:val="clear" w:color="auto" w:fill="E7E6E6" w:themeFill="background2"/>
          </w:tcPr>
          <w:p w14:paraId="69E913E9"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1042" w:type="dxa"/>
            <w:shd w:val="clear" w:color="auto" w:fill="E7E6E6" w:themeFill="background2"/>
          </w:tcPr>
          <w:p w14:paraId="2DADAE2F"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986" w:type="dxa"/>
            <w:shd w:val="clear" w:color="auto" w:fill="E7E6E6" w:themeFill="background2"/>
          </w:tcPr>
          <w:p w14:paraId="7B00010F"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1276" w:type="dxa"/>
            <w:shd w:val="clear" w:color="auto" w:fill="E7E6E6" w:themeFill="background2"/>
          </w:tcPr>
          <w:p w14:paraId="4A35A14C"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r>
      <w:tr w:rsidR="00EC3A84" w:rsidRPr="00A534BF" w14:paraId="24D3EFBC" w14:textId="77777777" w:rsidTr="00174094">
        <w:tc>
          <w:tcPr>
            <w:tcW w:w="3376" w:type="dxa"/>
          </w:tcPr>
          <w:p w14:paraId="073D5C17" w14:textId="77777777" w:rsidR="00EC3A84" w:rsidRPr="00A534BF" w:rsidRDefault="00EC3A84" w:rsidP="00A534BF">
            <w:pPr>
              <w:jc w:val="center"/>
              <w:rPr>
                <w:rFonts w:ascii="Times New Roman" w:hAnsi="Times New Roman" w:cs="Times New Roman"/>
                <w:color w:val="222222"/>
                <w:sz w:val="20"/>
                <w:szCs w:val="20"/>
                <w:lang w:val="es-ES"/>
              </w:rPr>
            </w:pPr>
            <w:r w:rsidRPr="00A534BF">
              <w:rPr>
                <w:rFonts w:ascii="Times New Roman" w:hAnsi="Times New Roman" w:cs="Times New Roman"/>
                <w:color w:val="222222"/>
                <w:sz w:val="20"/>
                <w:szCs w:val="20"/>
                <w:lang w:val="es-ES"/>
              </w:rPr>
              <w:t>Tiene pautas / protocolos / estándares nacionales basados en la evidencia para el manejo de las principales ENT a través de un enfoque de atención primaria</w:t>
            </w:r>
          </w:p>
        </w:tc>
        <w:tc>
          <w:tcPr>
            <w:tcW w:w="1014" w:type="dxa"/>
            <w:shd w:val="clear" w:color="auto" w:fill="BDD6EE" w:themeFill="accent1" w:themeFillTint="66"/>
          </w:tcPr>
          <w:p w14:paraId="58029953"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NO</w:t>
            </w:r>
          </w:p>
        </w:tc>
        <w:tc>
          <w:tcPr>
            <w:tcW w:w="800" w:type="dxa"/>
            <w:shd w:val="clear" w:color="auto" w:fill="E7E6E6" w:themeFill="background2"/>
          </w:tcPr>
          <w:p w14:paraId="76C0DD1D"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1042" w:type="dxa"/>
            <w:shd w:val="clear" w:color="auto" w:fill="BDD6EE" w:themeFill="accent1" w:themeFillTint="66"/>
          </w:tcPr>
          <w:p w14:paraId="5FEFAB2D"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NO</w:t>
            </w:r>
          </w:p>
        </w:tc>
        <w:tc>
          <w:tcPr>
            <w:tcW w:w="986" w:type="dxa"/>
            <w:shd w:val="clear" w:color="auto" w:fill="BDD6EE" w:themeFill="accent1" w:themeFillTint="66"/>
          </w:tcPr>
          <w:p w14:paraId="0886D11E"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NO</w:t>
            </w:r>
          </w:p>
        </w:tc>
        <w:tc>
          <w:tcPr>
            <w:tcW w:w="1276" w:type="dxa"/>
            <w:shd w:val="clear" w:color="auto" w:fill="E7E6E6" w:themeFill="background2"/>
          </w:tcPr>
          <w:p w14:paraId="3711115D"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r>
      <w:tr w:rsidR="00EC3A84" w:rsidRPr="00A534BF" w14:paraId="456D7AF9" w14:textId="77777777" w:rsidTr="00174094">
        <w:tc>
          <w:tcPr>
            <w:tcW w:w="3376" w:type="dxa"/>
          </w:tcPr>
          <w:p w14:paraId="71A0B5B1" w14:textId="77777777" w:rsidR="00EC3A84" w:rsidRPr="00A534BF" w:rsidRDefault="00EC3A84" w:rsidP="00A534BF">
            <w:pPr>
              <w:jc w:val="center"/>
              <w:rPr>
                <w:rFonts w:ascii="Times New Roman" w:hAnsi="Times New Roman" w:cs="Times New Roman"/>
                <w:color w:val="222222"/>
                <w:sz w:val="20"/>
                <w:szCs w:val="20"/>
                <w:lang w:val="es-ES"/>
              </w:rPr>
            </w:pPr>
            <w:r w:rsidRPr="00A534BF">
              <w:rPr>
                <w:rFonts w:ascii="Times New Roman" w:hAnsi="Times New Roman" w:cs="Times New Roman"/>
                <w:color w:val="222222"/>
                <w:sz w:val="20"/>
                <w:szCs w:val="20"/>
                <w:lang w:val="es-ES"/>
              </w:rPr>
              <w:t>Tiene un sistema de vigilancia y monitoreo de ENT para permitir el reporte contra los nueve objetivos mundiales de ENT</w:t>
            </w:r>
          </w:p>
        </w:tc>
        <w:tc>
          <w:tcPr>
            <w:tcW w:w="1014" w:type="dxa"/>
            <w:shd w:val="clear" w:color="auto" w:fill="E7E6E6" w:themeFill="background2"/>
          </w:tcPr>
          <w:p w14:paraId="3D67428F"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800" w:type="dxa"/>
            <w:shd w:val="clear" w:color="auto" w:fill="BDD6EE" w:themeFill="accent1" w:themeFillTint="66"/>
          </w:tcPr>
          <w:p w14:paraId="3D713A25"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NO</w:t>
            </w:r>
          </w:p>
        </w:tc>
        <w:tc>
          <w:tcPr>
            <w:tcW w:w="1042" w:type="dxa"/>
            <w:shd w:val="clear" w:color="auto" w:fill="E7E6E6" w:themeFill="background2"/>
          </w:tcPr>
          <w:p w14:paraId="3BD0813F"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986" w:type="dxa"/>
            <w:shd w:val="clear" w:color="auto" w:fill="BDD6EE" w:themeFill="accent1" w:themeFillTint="66"/>
          </w:tcPr>
          <w:p w14:paraId="48FB25A1"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NO</w:t>
            </w:r>
          </w:p>
        </w:tc>
        <w:tc>
          <w:tcPr>
            <w:tcW w:w="1276" w:type="dxa"/>
            <w:shd w:val="clear" w:color="auto" w:fill="BDD6EE" w:themeFill="accent1" w:themeFillTint="66"/>
          </w:tcPr>
          <w:p w14:paraId="65DF5FDC"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NO</w:t>
            </w:r>
          </w:p>
        </w:tc>
      </w:tr>
      <w:tr w:rsidR="00EC3A84" w:rsidRPr="00A534BF" w14:paraId="6ECACD2F" w14:textId="77777777" w:rsidTr="00174094">
        <w:tc>
          <w:tcPr>
            <w:tcW w:w="3376" w:type="dxa"/>
          </w:tcPr>
          <w:p w14:paraId="14138C8F" w14:textId="77777777" w:rsidR="00EC3A84" w:rsidRPr="00A534BF" w:rsidRDefault="00EC3A84" w:rsidP="00A534BF">
            <w:pPr>
              <w:jc w:val="center"/>
              <w:rPr>
                <w:rFonts w:ascii="Times New Roman" w:hAnsi="Times New Roman" w:cs="Times New Roman"/>
                <w:color w:val="222222"/>
                <w:sz w:val="20"/>
                <w:szCs w:val="20"/>
                <w:lang w:val="es-ES"/>
              </w:rPr>
            </w:pPr>
            <w:r w:rsidRPr="00A534BF">
              <w:rPr>
                <w:rFonts w:ascii="Times New Roman" w:hAnsi="Times New Roman" w:cs="Times New Roman"/>
                <w:color w:val="222222"/>
                <w:sz w:val="20"/>
                <w:szCs w:val="20"/>
                <w:lang w:val="es-ES"/>
              </w:rPr>
              <w:t>Tiene un registro nacional de cáncer basado en la población</w:t>
            </w:r>
          </w:p>
        </w:tc>
        <w:tc>
          <w:tcPr>
            <w:tcW w:w="1014" w:type="dxa"/>
            <w:shd w:val="clear" w:color="auto" w:fill="E7E6E6" w:themeFill="background2"/>
          </w:tcPr>
          <w:p w14:paraId="4D040538"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800" w:type="dxa"/>
            <w:shd w:val="clear" w:color="auto" w:fill="BDD6EE" w:themeFill="accent1" w:themeFillTint="66"/>
          </w:tcPr>
          <w:p w14:paraId="2E4902D2"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NO</w:t>
            </w:r>
          </w:p>
        </w:tc>
        <w:tc>
          <w:tcPr>
            <w:tcW w:w="1042" w:type="dxa"/>
            <w:shd w:val="clear" w:color="auto" w:fill="BDD6EE" w:themeFill="accent1" w:themeFillTint="66"/>
          </w:tcPr>
          <w:p w14:paraId="41FE0516"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NO</w:t>
            </w:r>
          </w:p>
        </w:tc>
        <w:tc>
          <w:tcPr>
            <w:tcW w:w="986" w:type="dxa"/>
            <w:shd w:val="clear" w:color="auto" w:fill="E7E6E6" w:themeFill="background2"/>
          </w:tcPr>
          <w:p w14:paraId="4915EBD1"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SI</w:t>
            </w:r>
          </w:p>
        </w:tc>
        <w:tc>
          <w:tcPr>
            <w:tcW w:w="1276" w:type="dxa"/>
            <w:shd w:val="clear" w:color="auto" w:fill="BDD6EE" w:themeFill="accent1" w:themeFillTint="66"/>
          </w:tcPr>
          <w:p w14:paraId="69048E0F" w14:textId="77777777" w:rsidR="00EC3A84" w:rsidRPr="00A534BF" w:rsidRDefault="008D4F7C" w:rsidP="00A534BF">
            <w:pPr>
              <w:jc w:val="center"/>
              <w:rPr>
                <w:rFonts w:ascii="Times New Roman" w:hAnsi="Times New Roman" w:cs="Times New Roman"/>
                <w:sz w:val="20"/>
                <w:szCs w:val="20"/>
                <w:lang w:val="es-AR"/>
              </w:rPr>
            </w:pPr>
            <w:r w:rsidRPr="00A534BF">
              <w:rPr>
                <w:rFonts w:ascii="Times New Roman" w:hAnsi="Times New Roman" w:cs="Times New Roman"/>
                <w:sz w:val="20"/>
                <w:szCs w:val="20"/>
                <w:lang w:val="es-AR"/>
              </w:rPr>
              <w:t>NO</w:t>
            </w:r>
          </w:p>
        </w:tc>
      </w:tr>
    </w:tbl>
    <w:p w14:paraId="752E67F3" w14:textId="77777777" w:rsidR="00EC3A84" w:rsidRPr="00A534BF" w:rsidRDefault="00EC3A84" w:rsidP="00A534BF">
      <w:pPr>
        <w:jc w:val="center"/>
        <w:rPr>
          <w:rFonts w:ascii="Times New Roman" w:hAnsi="Times New Roman" w:cs="Times New Roman"/>
          <w:sz w:val="20"/>
          <w:szCs w:val="20"/>
          <w:lang w:val="es-ES"/>
        </w:rPr>
      </w:pPr>
      <w:r w:rsidRPr="00A534BF">
        <w:rPr>
          <w:rFonts w:ascii="Times New Roman" w:hAnsi="Times New Roman" w:cs="Times New Roman"/>
          <w:sz w:val="20"/>
          <w:szCs w:val="20"/>
          <w:lang w:val="es-ES"/>
        </w:rPr>
        <w:t>* Las estimaciones de mortalidad para este país tienen un alto grado de incertidumbre porque no se basan en ningún dato nacional de mortalidad por ENT (ver Notas Explicativas).</w:t>
      </w:r>
    </w:p>
    <w:p w14:paraId="1056DA6E" w14:textId="77777777" w:rsidR="00B202EF" w:rsidRPr="00A534BF" w:rsidRDefault="00B202EF" w:rsidP="00A534BF">
      <w:pPr>
        <w:jc w:val="center"/>
        <w:rPr>
          <w:rStyle w:val="shorttext"/>
          <w:rFonts w:ascii="Times New Roman" w:hAnsi="Times New Roman" w:cs="Times New Roman"/>
          <w:color w:val="222222"/>
          <w:sz w:val="20"/>
          <w:szCs w:val="20"/>
          <w:lang w:val="es-ES"/>
        </w:rPr>
      </w:pPr>
      <w:r w:rsidRPr="00A534BF">
        <w:rPr>
          <w:rStyle w:val="shorttext"/>
          <w:rFonts w:ascii="Times New Roman" w:hAnsi="Times New Roman" w:cs="Times New Roman"/>
          <w:color w:val="222222"/>
          <w:sz w:val="20"/>
          <w:szCs w:val="20"/>
          <w:lang w:val="es-ES"/>
        </w:rPr>
        <w:t xml:space="preserve">Fuente: </w:t>
      </w:r>
      <w:proofErr w:type="spellStart"/>
      <w:r w:rsidRPr="00A534BF">
        <w:rPr>
          <w:rStyle w:val="shorttext"/>
          <w:rFonts w:ascii="Times New Roman" w:hAnsi="Times New Roman" w:cs="Times New Roman"/>
          <w:color w:val="222222"/>
          <w:sz w:val="20"/>
          <w:szCs w:val="20"/>
          <w:lang w:val="es-ES"/>
        </w:rPr>
        <w:t>Construcciõn</w:t>
      </w:r>
      <w:proofErr w:type="spellEnd"/>
      <w:r w:rsidRPr="00A534BF">
        <w:rPr>
          <w:rStyle w:val="shorttext"/>
          <w:rFonts w:ascii="Times New Roman" w:hAnsi="Times New Roman" w:cs="Times New Roman"/>
          <w:color w:val="222222"/>
          <w:sz w:val="20"/>
          <w:szCs w:val="20"/>
          <w:lang w:val="es-ES"/>
        </w:rPr>
        <w:t xml:space="preserve"> propia a partir de </w:t>
      </w:r>
      <w:r w:rsidRPr="00A534BF">
        <w:rPr>
          <w:rFonts w:ascii="Times New Roman" w:hAnsi="Times New Roman" w:cs="Times New Roman"/>
          <w:sz w:val="20"/>
          <w:szCs w:val="20"/>
          <w:lang w:val="uz-Cyrl-UZ"/>
        </w:rPr>
        <w:t xml:space="preserve">Noncommunicable diseases country profiles 2014. Disponible en: </w:t>
      </w:r>
      <w:hyperlink r:id="rId11" w:history="1">
        <w:r w:rsidRPr="00A534BF">
          <w:rPr>
            <w:rStyle w:val="Hipervnculo"/>
            <w:rFonts w:ascii="Times New Roman" w:hAnsi="Times New Roman" w:cs="Times New Roman"/>
            <w:sz w:val="20"/>
            <w:szCs w:val="20"/>
            <w:lang w:val="uz-Cyrl-UZ"/>
          </w:rPr>
          <w:t>http://www.who.int/nmh/countries/en/</w:t>
        </w:r>
      </w:hyperlink>
      <w:r w:rsidRPr="00A534BF">
        <w:rPr>
          <w:rFonts w:ascii="Times New Roman" w:hAnsi="Times New Roman" w:cs="Times New Roman"/>
          <w:sz w:val="20"/>
          <w:szCs w:val="20"/>
          <w:lang w:val="uz-Cyrl-UZ"/>
        </w:rPr>
        <w:t>. Acceso 5 de Junio de 2018</w:t>
      </w:r>
    </w:p>
    <w:p w14:paraId="6F0658E4" w14:textId="77777777" w:rsidR="00B202EF" w:rsidRPr="00A534BF" w:rsidRDefault="00B202EF" w:rsidP="00F30204">
      <w:pPr>
        <w:jc w:val="both"/>
        <w:rPr>
          <w:rFonts w:ascii="Times New Roman" w:hAnsi="Times New Roman" w:cs="Times New Roman"/>
          <w:sz w:val="24"/>
          <w:szCs w:val="24"/>
          <w:lang w:val="es-AR"/>
        </w:rPr>
      </w:pPr>
    </w:p>
    <w:p w14:paraId="618D261A" w14:textId="45B432E4" w:rsidR="006E458D" w:rsidRPr="00A534BF" w:rsidRDefault="006E458D"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lastRenderedPageBreak/>
        <w:t>Desde el SGT</w:t>
      </w:r>
      <w:r w:rsidR="00C65A6E" w:rsidRPr="00A534BF">
        <w:rPr>
          <w:rFonts w:ascii="Times New Roman" w:hAnsi="Times New Roman" w:cs="Times New Roman"/>
          <w:sz w:val="24"/>
          <w:szCs w:val="24"/>
          <w:lang w:val="es-AR"/>
        </w:rPr>
        <w:t xml:space="preserve"> 11-</w:t>
      </w:r>
      <w:r w:rsidRPr="00A534BF">
        <w:rPr>
          <w:rFonts w:ascii="Times New Roman" w:hAnsi="Times New Roman" w:cs="Times New Roman"/>
          <w:sz w:val="24"/>
          <w:szCs w:val="24"/>
          <w:lang w:val="es-AR"/>
        </w:rPr>
        <w:t xml:space="preserve"> Salud</w:t>
      </w:r>
      <w:r w:rsidR="00547063" w:rsidRPr="00A534BF">
        <w:rPr>
          <w:rFonts w:ascii="Times New Roman" w:hAnsi="Times New Roman" w:cs="Times New Roman"/>
          <w:sz w:val="24"/>
          <w:szCs w:val="24"/>
          <w:lang w:val="es-AR"/>
        </w:rPr>
        <w:t xml:space="preserve"> </w:t>
      </w:r>
      <w:r w:rsidRPr="00A534BF">
        <w:rPr>
          <w:rFonts w:ascii="Times New Roman" w:hAnsi="Times New Roman" w:cs="Times New Roman"/>
          <w:sz w:val="24"/>
          <w:szCs w:val="24"/>
          <w:lang w:val="es-AR"/>
        </w:rPr>
        <w:t>tradicionalmente los países han</w:t>
      </w:r>
      <w:r w:rsidR="001F479D" w:rsidRPr="00A534BF">
        <w:rPr>
          <w:rFonts w:ascii="Times New Roman" w:hAnsi="Times New Roman" w:cs="Times New Roman"/>
          <w:sz w:val="24"/>
          <w:szCs w:val="24"/>
          <w:lang w:val="es-AR"/>
        </w:rPr>
        <w:t xml:space="preserve"> realizado el análisis de la situación epidemiológica regional de las enfermedades priorizadas en el bloque</w:t>
      </w:r>
      <w:r w:rsidR="00E76DC6" w:rsidRPr="00A534BF">
        <w:rPr>
          <w:rStyle w:val="Refdenotaalpie"/>
          <w:rFonts w:ascii="Times New Roman" w:hAnsi="Times New Roman" w:cs="Times New Roman"/>
          <w:sz w:val="24"/>
          <w:szCs w:val="24"/>
          <w:lang w:val="es-AR"/>
        </w:rPr>
        <w:footnoteReference w:id="23"/>
      </w:r>
      <w:r w:rsidR="001F479D" w:rsidRPr="00A534BF">
        <w:rPr>
          <w:rFonts w:ascii="Times New Roman" w:hAnsi="Times New Roman" w:cs="Times New Roman"/>
          <w:sz w:val="24"/>
          <w:szCs w:val="24"/>
          <w:lang w:val="es-AR"/>
        </w:rPr>
        <w:t>, que han tenido que ver sobre todo con las enfermedades transmisibles.</w:t>
      </w:r>
      <w:r w:rsidR="005A212F" w:rsidRPr="00A534BF">
        <w:rPr>
          <w:rFonts w:ascii="Times New Roman" w:hAnsi="Times New Roman" w:cs="Times New Roman"/>
          <w:sz w:val="24"/>
          <w:szCs w:val="24"/>
          <w:lang w:val="es-AR"/>
        </w:rPr>
        <w:t xml:space="preserve"> La pauta negociadora del SGT Salud aprobada por la Resolución GMC 13/03 ya plantea el avanzar en la vigilancia de las ECNT. </w:t>
      </w:r>
      <w:r w:rsidR="00E0070A" w:rsidRPr="00A534BF">
        <w:rPr>
          <w:rFonts w:ascii="Times New Roman" w:hAnsi="Times New Roman" w:cs="Times New Roman"/>
          <w:sz w:val="24"/>
          <w:szCs w:val="24"/>
          <w:lang w:val="es-AR"/>
        </w:rPr>
        <w:t xml:space="preserve"> Nótese que el abordaje de las ECNT en el ámbito del SGT Salud plantea el avanzar en aspectos regulatorios vinculados a estas enfermedades</w:t>
      </w:r>
      <w:r w:rsidR="00E76DC6" w:rsidRPr="00A534BF">
        <w:rPr>
          <w:rFonts w:ascii="Times New Roman" w:hAnsi="Times New Roman" w:cs="Times New Roman"/>
          <w:sz w:val="24"/>
          <w:szCs w:val="24"/>
          <w:lang w:val="es-AR"/>
        </w:rPr>
        <w:t xml:space="preserve"> y es poco lo que se ha avanzado en el sentido de una política subregional en relación a las mismas</w:t>
      </w:r>
      <w:r w:rsidR="006F7B25" w:rsidRPr="00A534BF">
        <w:rPr>
          <w:rFonts w:ascii="Times New Roman" w:hAnsi="Times New Roman" w:cs="Times New Roman"/>
          <w:sz w:val="24"/>
          <w:szCs w:val="24"/>
          <w:lang w:val="es-AR"/>
        </w:rPr>
        <w:t xml:space="preserve"> </w:t>
      </w:r>
    </w:p>
    <w:p w14:paraId="7EFB9646" w14:textId="34FAA48B" w:rsidR="00E0070A" w:rsidRPr="00A534BF" w:rsidRDefault="00E0070A"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En 2008, en la XXXI Reunión de la Comisión de Vigilancia de la Salud del SGT S</w:t>
      </w:r>
      <w:r w:rsidR="006F7B25" w:rsidRPr="00A534BF">
        <w:rPr>
          <w:rFonts w:ascii="Times New Roman" w:hAnsi="Times New Roman" w:cs="Times New Roman"/>
          <w:sz w:val="24"/>
          <w:szCs w:val="24"/>
          <w:lang w:val="es-AR"/>
        </w:rPr>
        <w:t>a</w:t>
      </w:r>
      <w:r w:rsidR="00706A64" w:rsidRPr="00A534BF">
        <w:rPr>
          <w:rFonts w:ascii="Times New Roman" w:hAnsi="Times New Roman" w:cs="Times New Roman"/>
          <w:sz w:val="24"/>
          <w:szCs w:val="24"/>
          <w:lang w:val="es-AR"/>
        </w:rPr>
        <w:t>l</w:t>
      </w:r>
      <w:r w:rsidRPr="00A534BF">
        <w:rPr>
          <w:rFonts w:ascii="Times New Roman" w:hAnsi="Times New Roman" w:cs="Times New Roman"/>
          <w:sz w:val="24"/>
          <w:szCs w:val="24"/>
          <w:lang w:val="es-AR"/>
        </w:rPr>
        <w:t>ud se decide crear um Grupo de Trabajo “Ad-Hoc”, para tratar el tema de las ECNT</w:t>
      </w:r>
      <w:r w:rsidR="0091586B" w:rsidRPr="00A534BF">
        <w:rPr>
          <w:rStyle w:val="Refdenotaalpie"/>
          <w:rFonts w:ascii="Times New Roman" w:hAnsi="Times New Roman" w:cs="Times New Roman"/>
          <w:sz w:val="24"/>
          <w:szCs w:val="24"/>
          <w:lang w:val="es-AR"/>
        </w:rPr>
        <w:footnoteReference w:id="24"/>
      </w:r>
      <w:r w:rsidRPr="00A534BF">
        <w:rPr>
          <w:rFonts w:ascii="Times New Roman" w:hAnsi="Times New Roman" w:cs="Times New Roman"/>
          <w:sz w:val="24"/>
          <w:szCs w:val="24"/>
          <w:lang w:val="es-AR"/>
        </w:rPr>
        <w:t>, pudiendo destacar de sus objetivos:</w:t>
      </w:r>
    </w:p>
    <w:p w14:paraId="58F00F30" w14:textId="77777777" w:rsidR="00A534BF" w:rsidRDefault="00E0070A" w:rsidP="003B74A4">
      <w:pPr>
        <w:pStyle w:val="Prrafodelista"/>
        <w:numPr>
          <w:ilvl w:val="0"/>
          <w:numId w:val="2"/>
        </w:numPr>
        <w:rPr>
          <w:rFonts w:ascii="Times New Roman" w:hAnsi="Times New Roman" w:cs="Times New Roman"/>
          <w:i/>
          <w:sz w:val="24"/>
          <w:szCs w:val="24"/>
          <w:lang w:val="uz-Cyrl-UZ"/>
        </w:rPr>
      </w:pPr>
      <w:r w:rsidRPr="00A534BF">
        <w:rPr>
          <w:rFonts w:ascii="Times New Roman" w:hAnsi="Times New Roman" w:cs="Times New Roman"/>
          <w:i/>
          <w:sz w:val="24"/>
          <w:szCs w:val="24"/>
          <w:lang w:val="uz-Cyrl-UZ"/>
        </w:rPr>
        <w:t>Contribuir para el desarrollo y la definción de um conjunto de herramientas metodológicas, buscando harmonizar y reconciliar datos, como parte de um proceso de integración regional;</w:t>
      </w:r>
    </w:p>
    <w:p w14:paraId="370CEC47" w14:textId="77777777" w:rsidR="00A534BF" w:rsidRDefault="00E0070A" w:rsidP="003B74A4">
      <w:pPr>
        <w:pStyle w:val="Prrafodelista"/>
        <w:numPr>
          <w:ilvl w:val="0"/>
          <w:numId w:val="2"/>
        </w:numPr>
        <w:rPr>
          <w:rFonts w:ascii="Times New Roman" w:hAnsi="Times New Roman" w:cs="Times New Roman"/>
          <w:i/>
          <w:sz w:val="24"/>
          <w:szCs w:val="24"/>
          <w:lang w:val="uz-Cyrl-UZ"/>
        </w:rPr>
      </w:pPr>
      <w:r w:rsidRPr="00A534BF">
        <w:rPr>
          <w:rFonts w:ascii="Times New Roman" w:hAnsi="Times New Roman" w:cs="Times New Roman"/>
          <w:i/>
          <w:sz w:val="24"/>
          <w:szCs w:val="24"/>
          <w:lang w:val="uz-Cyrl-UZ"/>
        </w:rPr>
        <w:t xml:space="preserve">Promover la participación y la coordinación de instituciones nacionales, no gubernamentales y otros actores públicos y privados y los usuários em el análisis de datos; </w:t>
      </w:r>
    </w:p>
    <w:p w14:paraId="54219963" w14:textId="77777777" w:rsidR="00A534BF" w:rsidRDefault="00E0070A" w:rsidP="003B74A4">
      <w:pPr>
        <w:pStyle w:val="Prrafodelista"/>
        <w:numPr>
          <w:ilvl w:val="0"/>
          <w:numId w:val="2"/>
        </w:numPr>
        <w:rPr>
          <w:rFonts w:ascii="Times New Roman" w:hAnsi="Times New Roman" w:cs="Times New Roman"/>
          <w:i/>
          <w:sz w:val="24"/>
          <w:szCs w:val="24"/>
          <w:lang w:val="uz-Cyrl-UZ"/>
        </w:rPr>
      </w:pPr>
      <w:r w:rsidRPr="00A534BF">
        <w:rPr>
          <w:rFonts w:ascii="Times New Roman" w:hAnsi="Times New Roman" w:cs="Times New Roman"/>
          <w:i/>
          <w:sz w:val="24"/>
          <w:szCs w:val="24"/>
          <w:lang w:val="uz-Cyrl-UZ"/>
        </w:rPr>
        <w:t>Priorizar el fortalecimento de la capacidade nacional para producir la información necessária buscando estabelecer la carga de enfermedad no transmisible y los factores de riesgo.</w:t>
      </w:r>
    </w:p>
    <w:p w14:paraId="1F1CCE5C" w14:textId="28064A80" w:rsidR="00E0070A" w:rsidRPr="00A534BF" w:rsidRDefault="00E0070A" w:rsidP="003B74A4">
      <w:pPr>
        <w:pStyle w:val="Prrafodelista"/>
        <w:numPr>
          <w:ilvl w:val="0"/>
          <w:numId w:val="2"/>
        </w:numPr>
        <w:rPr>
          <w:rFonts w:ascii="Times New Roman" w:hAnsi="Times New Roman" w:cs="Times New Roman"/>
          <w:i/>
          <w:sz w:val="24"/>
          <w:szCs w:val="24"/>
          <w:lang w:val="uz-Cyrl-UZ"/>
        </w:rPr>
      </w:pPr>
      <w:r w:rsidRPr="00A534BF">
        <w:rPr>
          <w:rFonts w:ascii="Times New Roman" w:hAnsi="Times New Roman" w:cs="Times New Roman"/>
          <w:i/>
          <w:sz w:val="24"/>
          <w:szCs w:val="24"/>
          <w:lang w:val="uz-Cyrl-UZ"/>
        </w:rPr>
        <w:t>Compartir informaciones oportundas para la definición de politicas públicas de salud, políticas, estratégias y programas destinados a controlar las ECNT.</w:t>
      </w:r>
    </w:p>
    <w:p w14:paraId="2F255AC4" w14:textId="77777777" w:rsidR="00E0070A" w:rsidRPr="00A534BF" w:rsidRDefault="00E0070A" w:rsidP="003B74A4">
      <w:pPr>
        <w:rPr>
          <w:rFonts w:ascii="Times New Roman" w:hAnsi="Times New Roman" w:cs="Times New Roman"/>
          <w:sz w:val="24"/>
          <w:szCs w:val="24"/>
          <w:lang w:val="es-AR"/>
        </w:rPr>
      </w:pPr>
    </w:p>
    <w:p w14:paraId="4717E5A6" w14:textId="4B718359" w:rsidR="007A24A0" w:rsidRPr="00A534BF" w:rsidRDefault="007A24A0"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El Grupo de Trabajo “Ad-Hoc” resulta una herramienta poderosa para avanzar en el intercambio de informaciones sobre las ECNT, el desarrollo de herramientas de vigilancia como la armonización de indicadores e intercambio  de experiencias sobre los sistemas de vigilancia tendientes al fortalecimiento de las capacidades nacionales y la  cooperación entre los Estados parte del MERCOSUR. En tal sentido</w:t>
      </w:r>
      <w:r w:rsidR="00706A64"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el trabajo </w:t>
      </w:r>
      <w:r w:rsidR="00706A64" w:rsidRPr="00A534BF">
        <w:rPr>
          <w:rFonts w:ascii="Times New Roman" w:hAnsi="Times New Roman" w:cs="Times New Roman"/>
          <w:sz w:val="24"/>
          <w:szCs w:val="24"/>
          <w:lang w:val="es-AR"/>
        </w:rPr>
        <w:t>inclui el</w:t>
      </w:r>
      <w:r w:rsidRPr="00A534BF">
        <w:rPr>
          <w:rFonts w:ascii="Times New Roman" w:hAnsi="Times New Roman" w:cs="Times New Roman"/>
          <w:sz w:val="24"/>
          <w:szCs w:val="24"/>
          <w:lang w:val="es-AR"/>
        </w:rPr>
        <w:t xml:space="preserve"> intercambio sobre  factores de riesgo de los países, iniciativas de </w:t>
      </w:r>
      <w:r w:rsidR="00706A64" w:rsidRPr="00A534BF">
        <w:rPr>
          <w:rFonts w:ascii="Times New Roman" w:hAnsi="Times New Roman" w:cs="Times New Roman"/>
          <w:sz w:val="24"/>
          <w:szCs w:val="24"/>
          <w:lang w:val="es-AR"/>
        </w:rPr>
        <w:t xml:space="preserve">procesos </w:t>
      </w:r>
      <w:r w:rsidRPr="00A534BF">
        <w:rPr>
          <w:rFonts w:ascii="Times New Roman" w:hAnsi="Times New Roman" w:cs="Times New Roman"/>
          <w:sz w:val="24"/>
          <w:szCs w:val="24"/>
          <w:lang w:val="es-AR"/>
        </w:rPr>
        <w:t xml:space="preserve">de capacitación para la vigilancia, la armonización de los registros de cáncer sobre la base poblacional, entre otros.    </w:t>
      </w:r>
    </w:p>
    <w:p w14:paraId="7AD1DFFA" w14:textId="77777777" w:rsidR="007A24A0" w:rsidRPr="00A534BF" w:rsidRDefault="007A24A0"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 xml:space="preserve">Ahora, la Vigilancia Epidemiológica es condición necesaria pero no suficiente para poder alcanzar la referida meta 3.4. del ODS 3 de la Agenda 2030. </w:t>
      </w:r>
    </w:p>
    <w:p w14:paraId="608A6F62" w14:textId="4344D636" w:rsidR="006B69F8" w:rsidRPr="00A534BF" w:rsidRDefault="001B3DB8"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lastRenderedPageBreak/>
        <w:t>Las Recomendaciones del Informe de la Comisión Independiente de Alto Nivel de la OMS sobre Enfermedades No Transmisibles</w:t>
      </w:r>
      <w:r w:rsidR="00FD1850" w:rsidRPr="00A534BF">
        <w:rPr>
          <w:rStyle w:val="Refdenotaalpie"/>
          <w:rFonts w:ascii="Times New Roman" w:hAnsi="Times New Roman" w:cs="Times New Roman"/>
          <w:sz w:val="24"/>
          <w:szCs w:val="24"/>
          <w:lang w:val="es-AR"/>
        </w:rPr>
        <w:footnoteReference w:id="25"/>
      </w:r>
      <w:r w:rsidRPr="00A534BF">
        <w:rPr>
          <w:rFonts w:ascii="Times New Roman" w:hAnsi="Times New Roman" w:cs="Times New Roman"/>
          <w:sz w:val="24"/>
          <w:szCs w:val="24"/>
          <w:lang w:val="es-AR"/>
        </w:rPr>
        <w:t xml:space="preserve"> nos brindan algunos caminos que podrían ser trabajados a nivel subregional del MERCOSUR. El informe resalta que “…</w:t>
      </w:r>
      <w:r w:rsidRPr="00A534BF">
        <w:rPr>
          <w:rFonts w:ascii="Times New Roman" w:hAnsi="Times New Roman" w:cs="Times New Roman"/>
          <w:i/>
          <w:sz w:val="24"/>
          <w:szCs w:val="24"/>
          <w:lang w:val="es-AR"/>
        </w:rPr>
        <w:t xml:space="preserve"> los compromisos contraído a nivel global no se han traducido en medidas legislativas y reglamentarias, inversiones constantes o financiación de programas contra las enfermedades no transmisibles de manera coherente…” </w:t>
      </w:r>
      <w:r w:rsidR="00B36ADB" w:rsidRPr="00A534BF">
        <w:rPr>
          <w:rFonts w:ascii="Times New Roman" w:hAnsi="Times New Roman" w:cs="Times New Roman"/>
          <w:i/>
          <w:sz w:val="24"/>
          <w:szCs w:val="24"/>
          <w:lang w:val="es-AR"/>
        </w:rPr>
        <w:t xml:space="preserve"> </w:t>
      </w:r>
      <w:r w:rsidR="006B69F8" w:rsidRPr="00A534BF">
        <w:rPr>
          <w:rFonts w:ascii="Times New Roman" w:hAnsi="Times New Roman" w:cs="Times New Roman"/>
          <w:i/>
          <w:sz w:val="24"/>
          <w:szCs w:val="24"/>
          <w:lang w:val="es-AR"/>
        </w:rPr>
        <w:t xml:space="preserve">y </w:t>
      </w:r>
      <w:r w:rsidR="006B69F8" w:rsidRPr="00A534BF">
        <w:rPr>
          <w:rFonts w:ascii="Times New Roman" w:hAnsi="Times New Roman" w:cs="Times New Roman"/>
          <w:sz w:val="24"/>
          <w:szCs w:val="24"/>
          <w:lang w:val="es-AR"/>
        </w:rPr>
        <w:t>que resulta necesario aplicar enfoques intersectoriales que se han denominado “</w:t>
      </w:r>
      <w:r w:rsidR="006B69F8" w:rsidRPr="00A534BF">
        <w:rPr>
          <w:rFonts w:ascii="Times New Roman" w:hAnsi="Times New Roman" w:cs="Times New Roman"/>
          <w:i/>
          <w:sz w:val="24"/>
          <w:szCs w:val="24"/>
          <w:lang w:val="es-AR"/>
        </w:rPr>
        <w:t>Salud en todas las políticas</w:t>
      </w:r>
      <w:r w:rsidR="006B69F8" w:rsidRPr="00A534BF">
        <w:rPr>
          <w:rFonts w:ascii="Times New Roman" w:hAnsi="Times New Roman" w:cs="Times New Roman"/>
          <w:sz w:val="24"/>
          <w:szCs w:val="24"/>
          <w:lang w:val="es-AR"/>
        </w:rPr>
        <w:t>”</w:t>
      </w:r>
      <w:r w:rsidR="006F7B25" w:rsidRPr="00A534BF">
        <w:rPr>
          <w:rFonts w:ascii="Times New Roman" w:hAnsi="Times New Roman" w:cs="Times New Roman"/>
          <w:sz w:val="24"/>
          <w:szCs w:val="24"/>
          <w:lang w:val="es-AR"/>
        </w:rPr>
        <w:t>.</w:t>
      </w:r>
      <w:r w:rsidR="00547063" w:rsidRPr="00A534BF">
        <w:rPr>
          <w:rStyle w:val="Refdenotaalpie"/>
          <w:rFonts w:ascii="Times New Roman" w:hAnsi="Times New Roman" w:cs="Times New Roman"/>
          <w:sz w:val="24"/>
          <w:szCs w:val="24"/>
          <w:lang w:val="es-AR"/>
        </w:rPr>
        <w:footnoteReference w:id="26"/>
      </w:r>
      <w:r w:rsidR="006B69F8" w:rsidRPr="00A534BF">
        <w:rPr>
          <w:rFonts w:ascii="Times New Roman" w:hAnsi="Times New Roman" w:cs="Times New Roman"/>
          <w:sz w:val="24"/>
          <w:szCs w:val="24"/>
          <w:lang w:val="es-AR"/>
        </w:rPr>
        <w:t xml:space="preserve"> </w:t>
      </w:r>
      <w:r w:rsidR="006F7B25" w:rsidRPr="00A534BF">
        <w:rPr>
          <w:rFonts w:ascii="Times New Roman" w:hAnsi="Times New Roman" w:cs="Times New Roman"/>
          <w:sz w:val="24"/>
          <w:szCs w:val="24"/>
          <w:lang w:val="es-AR"/>
        </w:rPr>
        <w:t xml:space="preserve"> </w:t>
      </w:r>
      <w:r w:rsidR="006B69F8" w:rsidRPr="00A534BF">
        <w:rPr>
          <w:rFonts w:ascii="Times New Roman" w:hAnsi="Times New Roman" w:cs="Times New Roman"/>
          <w:sz w:val="24"/>
          <w:szCs w:val="24"/>
          <w:lang w:val="es-AR"/>
        </w:rPr>
        <w:t xml:space="preserve">En el cuadro a continuación se presentan los principales obstáculos </w:t>
      </w:r>
      <w:r w:rsidR="00FD1850" w:rsidRPr="00A534BF">
        <w:rPr>
          <w:rFonts w:ascii="Times New Roman" w:hAnsi="Times New Roman" w:cs="Times New Roman"/>
          <w:sz w:val="24"/>
          <w:szCs w:val="24"/>
          <w:lang w:val="es-AR"/>
        </w:rPr>
        <w:t>identif</w:t>
      </w:r>
      <w:r w:rsidR="006B69F8" w:rsidRPr="00A534BF">
        <w:rPr>
          <w:rFonts w:ascii="Times New Roman" w:hAnsi="Times New Roman" w:cs="Times New Roman"/>
          <w:sz w:val="24"/>
          <w:szCs w:val="24"/>
          <w:lang w:val="es-AR"/>
        </w:rPr>
        <w:t>icados por el referido informe:</w:t>
      </w:r>
    </w:p>
    <w:p w14:paraId="39DFDC4B" w14:textId="77777777" w:rsidR="00B36ADB" w:rsidRPr="00A534BF" w:rsidRDefault="006B69F8" w:rsidP="00F30204">
      <w:pPr>
        <w:jc w:val="both"/>
        <w:rPr>
          <w:rFonts w:ascii="Times New Roman" w:hAnsi="Times New Roman" w:cs="Times New Roman"/>
          <w:sz w:val="24"/>
          <w:szCs w:val="24"/>
          <w:lang w:val="es-AR"/>
        </w:rPr>
      </w:pPr>
      <w:r w:rsidRPr="00A534BF">
        <w:rPr>
          <w:rFonts w:ascii="Times New Roman" w:hAnsi="Times New Roman" w:cs="Times New Roman"/>
          <w:sz w:val="24"/>
          <w:szCs w:val="24"/>
          <w:lang w:val="es-AR"/>
        </w:rPr>
        <w:t>Cuadro Nro 6: Obstaculos para Avanzar en Políticas para las ECNT</w:t>
      </w:r>
    </w:p>
    <w:tbl>
      <w:tblPr>
        <w:tblStyle w:val="TabelaSimples41"/>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62"/>
        <w:gridCol w:w="7932"/>
      </w:tblGrid>
      <w:tr w:rsidR="006B69F8" w:rsidRPr="00641EE6" w14:paraId="524F3167" w14:textId="77777777" w:rsidTr="00FD18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C12ECFB" w14:textId="77777777" w:rsidR="006B69F8" w:rsidRPr="00A534BF" w:rsidRDefault="006B69F8" w:rsidP="00F30204">
            <w:pPr>
              <w:jc w:val="both"/>
              <w:rPr>
                <w:rFonts w:ascii="Times New Roman" w:hAnsi="Times New Roman" w:cs="Times New Roman"/>
                <w:i/>
                <w:sz w:val="24"/>
                <w:szCs w:val="24"/>
                <w:lang w:val="es-AR"/>
              </w:rPr>
            </w:pPr>
            <w:r w:rsidRPr="00A534BF">
              <w:rPr>
                <w:rFonts w:ascii="Times New Roman" w:hAnsi="Times New Roman" w:cs="Times New Roman"/>
                <w:i/>
                <w:sz w:val="24"/>
                <w:szCs w:val="24"/>
                <w:lang w:val="es-AR"/>
              </w:rPr>
              <w:t>1</w:t>
            </w:r>
          </w:p>
        </w:tc>
        <w:tc>
          <w:tcPr>
            <w:tcW w:w="7932" w:type="dxa"/>
          </w:tcPr>
          <w:p w14:paraId="5D1A3AD0" w14:textId="7AF3DB24" w:rsidR="006B69F8" w:rsidRPr="00A534BF" w:rsidRDefault="006B69F8" w:rsidP="00F30204">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sz w:val="20"/>
                <w:szCs w:val="20"/>
                <w:lang w:val="es-AR"/>
              </w:rPr>
            </w:pPr>
            <w:r w:rsidRPr="00A534BF">
              <w:rPr>
                <w:rFonts w:ascii="Times New Roman" w:hAnsi="Times New Roman" w:cs="Times New Roman"/>
                <w:b w:val="0"/>
                <w:i/>
                <w:sz w:val="20"/>
                <w:szCs w:val="20"/>
                <w:lang w:val="es-AR"/>
              </w:rPr>
              <w:t xml:space="preserve">Falta de </w:t>
            </w:r>
            <w:r w:rsidR="00547063" w:rsidRPr="00A534BF">
              <w:rPr>
                <w:rFonts w:ascii="Times New Roman" w:hAnsi="Times New Roman" w:cs="Times New Roman"/>
                <w:b w:val="0"/>
                <w:i/>
                <w:sz w:val="20"/>
                <w:szCs w:val="20"/>
                <w:lang w:val="es-AR"/>
              </w:rPr>
              <w:t>v</w:t>
            </w:r>
            <w:r w:rsidRPr="00A534BF">
              <w:rPr>
                <w:rFonts w:ascii="Times New Roman" w:hAnsi="Times New Roman" w:cs="Times New Roman"/>
                <w:b w:val="0"/>
                <w:i/>
                <w:sz w:val="20"/>
                <w:szCs w:val="20"/>
                <w:lang w:val="es-AR"/>
              </w:rPr>
              <w:t xml:space="preserve">oluntad </w:t>
            </w:r>
            <w:r w:rsidR="00547063" w:rsidRPr="00A534BF">
              <w:rPr>
                <w:rFonts w:ascii="Times New Roman" w:hAnsi="Times New Roman" w:cs="Times New Roman"/>
                <w:b w:val="0"/>
                <w:i/>
                <w:sz w:val="20"/>
                <w:szCs w:val="20"/>
                <w:lang w:val="es-AR"/>
              </w:rPr>
              <w:t>p</w:t>
            </w:r>
            <w:r w:rsidRPr="00A534BF">
              <w:rPr>
                <w:rFonts w:ascii="Times New Roman" w:hAnsi="Times New Roman" w:cs="Times New Roman"/>
                <w:b w:val="0"/>
                <w:i/>
                <w:sz w:val="20"/>
                <w:szCs w:val="20"/>
                <w:lang w:val="es-AR"/>
              </w:rPr>
              <w:t>olítica, compromiso, capacidad y medidas</w:t>
            </w:r>
          </w:p>
        </w:tc>
      </w:tr>
      <w:tr w:rsidR="006B69F8" w:rsidRPr="00641EE6" w14:paraId="5256DEF9" w14:textId="77777777" w:rsidTr="00FD18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3270F37" w14:textId="77777777" w:rsidR="006B69F8" w:rsidRPr="00A534BF" w:rsidRDefault="006B69F8" w:rsidP="00F30204">
            <w:pPr>
              <w:jc w:val="both"/>
              <w:rPr>
                <w:rFonts w:ascii="Times New Roman" w:hAnsi="Times New Roman" w:cs="Times New Roman"/>
                <w:i/>
                <w:sz w:val="24"/>
                <w:szCs w:val="24"/>
                <w:lang w:val="es-AR"/>
              </w:rPr>
            </w:pPr>
            <w:r w:rsidRPr="00A534BF">
              <w:rPr>
                <w:rFonts w:ascii="Times New Roman" w:hAnsi="Times New Roman" w:cs="Times New Roman"/>
                <w:i/>
                <w:sz w:val="24"/>
                <w:szCs w:val="24"/>
                <w:lang w:val="es-AR"/>
              </w:rPr>
              <w:t>2</w:t>
            </w:r>
          </w:p>
        </w:tc>
        <w:tc>
          <w:tcPr>
            <w:tcW w:w="7932" w:type="dxa"/>
          </w:tcPr>
          <w:p w14:paraId="4C7F7FCE" w14:textId="221B4937" w:rsidR="006B69F8" w:rsidRPr="00A534BF" w:rsidRDefault="006B69F8" w:rsidP="00F3020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0"/>
                <w:szCs w:val="20"/>
                <w:lang w:val="es-AR"/>
              </w:rPr>
            </w:pPr>
            <w:r w:rsidRPr="00A534BF">
              <w:rPr>
                <w:rFonts w:ascii="Times New Roman" w:hAnsi="Times New Roman" w:cs="Times New Roman"/>
                <w:i/>
                <w:sz w:val="20"/>
                <w:szCs w:val="20"/>
                <w:lang w:val="es-AR"/>
              </w:rPr>
              <w:t xml:space="preserve">Falta de </w:t>
            </w:r>
            <w:r w:rsidR="00547063" w:rsidRPr="00A534BF">
              <w:rPr>
                <w:rFonts w:ascii="Times New Roman" w:hAnsi="Times New Roman" w:cs="Times New Roman"/>
                <w:i/>
                <w:sz w:val="20"/>
                <w:szCs w:val="20"/>
                <w:lang w:val="es-AR"/>
              </w:rPr>
              <w:t>p</w:t>
            </w:r>
            <w:r w:rsidRPr="00A534BF">
              <w:rPr>
                <w:rFonts w:ascii="Times New Roman" w:hAnsi="Times New Roman" w:cs="Times New Roman"/>
                <w:i/>
                <w:sz w:val="20"/>
                <w:szCs w:val="20"/>
                <w:lang w:val="es-AR"/>
              </w:rPr>
              <w:t xml:space="preserve">olíticas y </w:t>
            </w:r>
            <w:r w:rsidR="00547063" w:rsidRPr="00A534BF">
              <w:rPr>
                <w:rFonts w:ascii="Times New Roman" w:hAnsi="Times New Roman" w:cs="Times New Roman"/>
                <w:i/>
                <w:sz w:val="20"/>
                <w:szCs w:val="20"/>
                <w:lang w:val="es-AR"/>
              </w:rPr>
              <w:t>p</w:t>
            </w:r>
            <w:r w:rsidRPr="00A534BF">
              <w:rPr>
                <w:rFonts w:ascii="Times New Roman" w:hAnsi="Times New Roman" w:cs="Times New Roman"/>
                <w:i/>
                <w:sz w:val="20"/>
                <w:szCs w:val="20"/>
                <w:lang w:val="es-AR"/>
              </w:rPr>
              <w:t>lanes concernientes a las ECNT</w:t>
            </w:r>
          </w:p>
        </w:tc>
      </w:tr>
      <w:tr w:rsidR="006B69F8" w:rsidRPr="00641EE6" w14:paraId="0A3376E8" w14:textId="77777777" w:rsidTr="00FD1850">
        <w:tc>
          <w:tcPr>
            <w:cnfStyle w:val="001000000000" w:firstRow="0" w:lastRow="0" w:firstColumn="1" w:lastColumn="0" w:oddVBand="0" w:evenVBand="0" w:oddHBand="0" w:evenHBand="0" w:firstRowFirstColumn="0" w:firstRowLastColumn="0" w:lastRowFirstColumn="0" w:lastRowLastColumn="0"/>
            <w:tcW w:w="562" w:type="dxa"/>
          </w:tcPr>
          <w:p w14:paraId="69B4C7D4" w14:textId="77777777" w:rsidR="006B69F8" w:rsidRPr="00A534BF" w:rsidRDefault="006B69F8" w:rsidP="00F30204">
            <w:pPr>
              <w:jc w:val="both"/>
              <w:rPr>
                <w:rFonts w:ascii="Times New Roman" w:hAnsi="Times New Roman" w:cs="Times New Roman"/>
                <w:i/>
                <w:sz w:val="24"/>
                <w:szCs w:val="24"/>
                <w:lang w:val="es-AR"/>
              </w:rPr>
            </w:pPr>
            <w:r w:rsidRPr="00A534BF">
              <w:rPr>
                <w:rFonts w:ascii="Times New Roman" w:hAnsi="Times New Roman" w:cs="Times New Roman"/>
                <w:i/>
                <w:sz w:val="24"/>
                <w:szCs w:val="24"/>
                <w:lang w:val="es-AR"/>
              </w:rPr>
              <w:t>3</w:t>
            </w:r>
          </w:p>
        </w:tc>
        <w:tc>
          <w:tcPr>
            <w:tcW w:w="7932" w:type="dxa"/>
          </w:tcPr>
          <w:p w14:paraId="5762F3E5" w14:textId="7606FC2A" w:rsidR="006B69F8" w:rsidRPr="00A534BF" w:rsidRDefault="006B69F8" w:rsidP="00F3020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0"/>
                <w:szCs w:val="20"/>
                <w:lang w:val="es-AR"/>
              </w:rPr>
            </w:pPr>
            <w:r w:rsidRPr="00A534BF">
              <w:rPr>
                <w:rFonts w:ascii="Times New Roman" w:hAnsi="Times New Roman" w:cs="Times New Roman"/>
                <w:i/>
                <w:sz w:val="20"/>
                <w:szCs w:val="20"/>
                <w:lang w:val="es-AR"/>
              </w:rPr>
              <w:t xml:space="preserve">Dificultad para el </w:t>
            </w:r>
            <w:r w:rsidR="00547063" w:rsidRPr="00A534BF">
              <w:rPr>
                <w:rFonts w:ascii="Times New Roman" w:hAnsi="Times New Roman" w:cs="Times New Roman"/>
                <w:i/>
                <w:sz w:val="20"/>
                <w:szCs w:val="20"/>
                <w:lang w:val="es-AR"/>
              </w:rPr>
              <w:t>e</w:t>
            </w:r>
            <w:r w:rsidRPr="00A534BF">
              <w:rPr>
                <w:rFonts w:ascii="Times New Roman" w:hAnsi="Times New Roman" w:cs="Times New Roman"/>
                <w:i/>
                <w:sz w:val="20"/>
                <w:szCs w:val="20"/>
                <w:lang w:val="es-AR"/>
              </w:rPr>
              <w:t xml:space="preserve">stablecimiento de </w:t>
            </w:r>
            <w:r w:rsidR="00547063" w:rsidRPr="00A534BF">
              <w:rPr>
                <w:rFonts w:ascii="Times New Roman" w:hAnsi="Times New Roman" w:cs="Times New Roman"/>
                <w:i/>
                <w:sz w:val="20"/>
                <w:szCs w:val="20"/>
                <w:lang w:val="es-AR"/>
              </w:rPr>
              <w:t>p</w:t>
            </w:r>
            <w:r w:rsidRPr="00A534BF">
              <w:rPr>
                <w:rFonts w:ascii="Times New Roman" w:hAnsi="Times New Roman" w:cs="Times New Roman"/>
                <w:i/>
                <w:sz w:val="20"/>
                <w:szCs w:val="20"/>
                <w:lang w:val="es-AR"/>
              </w:rPr>
              <w:t>rioridades</w:t>
            </w:r>
          </w:p>
        </w:tc>
      </w:tr>
      <w:tr w:rsidR="006B69F8" w:rsidRPr="00641EE6" w14:paraId="6D3D1315" w14:textId="77777777" w:rsidTr="00FD18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7365462B" w14:textId="77777777" w:rsidR="006B69F8" w:rsidRPr="00A534BF" w:rsidRDefault="006B69F8" w:rsidP="00F30204">
            <w:pPr>
              <w:jc w:val="both"/>
              <w:rPr>
                <w:rFonts w:ascii="Times New Roman" w:hAnsi="Times New Roman" w:cs="Times New Roman"/>
                <w:i/>
                <w:sz w:val="24"/>
                <w:szCs w:val="24"/>
                <w:lang w:val="es-AR"/>
              </w:rPr>
            </w:pPr>
            <w:r w:rsidRPr="00A534BF">
              <w:rPr>
                <w:rFonts w:ascii="Times New Roman" w:hAnsi="Times New Roman" w:cs="Times New Roman"/>
                <w:i/>
                <w:sz w:val="24"/>
                <w:szCs w:val="24"/>
                <w:lang w:val="es-AR"/>
              </w:rPr>
              <w:t>4</w:t>
            </w:r>
          </w:p>
        </w:tc>
        <w:tc>
          <w:tcPr>
            <w:tcW w:w="7932" w:type="dxa"/>
          </w:tcPr>
          <w:p w14:paraId="0F41E00D" w14:textId="269F520C" w:rsidR="006B69F8" w:rsidRPr="00A534BF" w:rsidRDefault="006B69F8" w:rsidP="00F3020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0"/>
                <w:szCs w:val="20"/>
                <w:lang w:val="es-AR"/>
              </w:rPr>
            </w:pPr>
            <w:r w:rsidRPr="00A534BF">
              <w:rPr>
                <w:rFonts w:ascii="Times New Roman" w:hAnsi="Times New Roman" w:cs="Times New Roman"/>
                <w:i/>
                <w:sz w:val="20"/>
                <w:szCs w:val="20"/>
                <w:lang w:val="es-AR"/>
              </w:rPr>
              <w:t xml:space="preserve">Repercusiones de </w:t>
            </w:r>
            <w:r w:rsidR="00547063" w:rsidRPr="00A534BF">
              <w:rPr>
                <w:rFonts w:ascii="Times New Roman" w:hAnsi="Times New Roman" w:cs="Times New Roman"/>
                <w:i/>
                <w:sz w:val="20"/>
                <w:szCs w:val="20"/>
                <w:lang w:val="es-AR"/>
              </w:rPr>
              <w:t>f</w:t>
            </w:r>
            <w:r w:rsidRPr="00A534BF">
              <w:rPr>
                <w:rFonts w:ascii="Times New Roman" w:hAnsi="Times New Roman" w:cs="Times New Roman"/>
                <w:i/>
                <w:sz w:val="20"/>
                <w:szCs w:val="20"/>
                <w:lang w:val="es-AR"/>
              </w:rPr>
              <w:t xml:space="preserve">actores </w:t>
            </w:r>
            <w:r w:rsidR="00547063" w:rsidRPr="00A534BF">
              <w:rPr>
                <w:rFonts w:ascii="Times New Roman" w:hAnsi="Times New Roman" w:cs="Times New Roman"/>
                <w:i/>
                <w:sz w:val="20"/>
                <w:szCs w:val="20"/>
                <w:lang w:val="es-AR"/>
              </w:rPr>
              <w:t>e</w:t>
            </w:r>
            <w:r w:rsidRPr="00A534BF">
              <w:rPr>
                <w:rFonts w:ascii="Times New Roman" w:hAnsi="Times New Roman" w:cs="Times New Roman"/>
                <w:i/>
                <w:sz w:val="20"/>
                <w:szCs w:val="20"/>
                <w:lang w:val="es-AR"/>
              </w:rPr>
              <w:t>conómicos, comerciales y mercado</w:t>
            </w:r>
          </w:p>
        </w:tc>
      </w:tr>
      <w:tr w:rsidR="006B69F8" w:rsidRPr="00641EE6" w14:paraId="5C8AD536" w14:textId="77777777" w:rsidTr="00FD1850">
        <w:tc>
          <w:tcPr>
            <w:cnfStyle w:val="001000000000" w:firstRow="0" w:lastRow="0" w:firstColumn="1" w:lastColumn="0" w:oddVBand="0" w:evenVBand="0" w:oddHBand="0" w:evenHBand="0" w:firstRowFirstColumn="0" w:firstRowLastColumn="0" w:lastRowFirstColumn="0" w:lastRowLastColumn="0"/>
            <w:tcW w:w="562" w:type="dxa"/>
          </w:tcPr>
          <w:p w14:paraId="5B120DF4" w14:textId="77777777" w:rsidR="006B69F8" w:rsidRPr="00A534BF" w:rsidRDefault="006B69F8" w:rsidP="00F30204">
            <w:pPr>
              <w:jc w:val="both"/>
              <w:rPr>
                <w:rFonts w:ascii="Times New Roman" w:hAnsi="Times New Roman" w:cs="Times New Roman"/>
                <w:i/>
                <w:sz w:val="24"/>
                <w:szCs w:val="24"/>
                <w:lang w:val="es-AR"/>
              </w:rPr>
            </w:pPr>
            <w:r w:rsidRPr="00A534BF">
              <w:rPr>
                <w:rFonts w:ascii="Times New Roman" w:hAnsi="Times New Roman" w:cs="Times New Roman"/>
                <w:i/>
                <w:sz w:val="24"/>
                <w:szCs w:val="24"/>
                <w:lang w:val="es-AR"/>
              </w:rPr>
              <w:t>5</w:t>
            </w:r>
          </w:p>
        </w:tc>
        <w:tc>
          <w:tcPr>
            <w:tcW w:w="7932" w:type="dxa"/>
          </w:tcPr>
          <w:p w14:paraId="5EAE3742" w14:textId="77777777" w:rsidR="006B69F8" w:rsidRPr="00A534BF" w:rsidRDefault="006B69F8" w:rsidP="00F3020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0"/>
                <w:szCs w:val="20"/>
                <w:lang w:val="es-AR"/>
              </w:rPr>
            </w:pPr>
            <w:r w:rsidRPr="00A534BF">
              <w:rPr>
                <w:rFonts w:ascii="Times New Roman" w:hAnsi="Times New Roman" w:cs="Times New Roman"/>
                <w:i/>
                <w:sz w:val="20"/>
                <w:szCs w:val="20"/>
                <w:lang w:val="es-AR"/>
              </w:rPr>
              <w:t>Capacidad técnica y operacional insuficiente</w:t>
            </w:r>
          </w:p>
        </w:tc>
      </w:tr>
      <w:tr w:rsidR="006B69F8" w:rsidRPr="00641EE6" w14:paraId="0783DC89" w14:textId="77777777" w:rsidTr="00FD18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5226A95" w14:textId="77777777" w:rsidR="006B69F8" w:rsidRPr="00A534BF" w:rsidRDefault="006B69F8" w:rsidP="00F30204">
            <w:pPr>
              <w:jc w:val="both"/>
              <w:rPr>
                <w:rFonts w:ascii="Times New Roman" w:hAnsi="Times New Roman" w:cs="Times New Roman"/>
                <w:i/>
                <w:sz w:val="24"/>
                <w:szCs w:val="24"/>
                <w:lang w:val="es-AR"/>
              </w:rPr>
            </w:pPr>
            <w:r w:rsidRPr="00A534BF">
              <w:rPr>
                <w:rFonts w:ascii="Times New Roman" w:hAnsi="Times New Roman" w:cs="Times New Roman"/>
                <w:i/>
                <w:sz w:val="24"/>
                <w:szCs w:val="24"/>
                <w:lang w:val="es-AR"/>
              </w:rPr>
              <w:t>6</w:t>
            </w:r>
          </w:p>
        </w:tc>
        <w:tc>
          <w:tcPr>
            <w:tcW w:w="7932" w:type="dxa"/>
          </w:tcPr>
          <w:p w14:paraId="245FBA89" w14:textId="77777777" w:rsidR="006B69F8" w:rsidRPr="00A534BF" w:rsidRDefault="006B69F8" w:rsidP="00F3020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0"/>
                <w:szCs w:val="20"/>
                <w:lang w:val="es-AR"/>
              </w:rPr>
            </w:pPr>
            <w:r w:rsidRPr="00A534BF">
              <w:rPr>
                <w:rFonts w:ascii="Times New Roman" w:hAnsi="Times New Roman" w:cs="Times New Roman"/>
                <w:i/>
                <w:sz w:val="20"/>
                <w:szCs w:val="20"/>
                <w:lang w:val="es-AR"/>
              </w:rPr>
              <w:t>Financiación (nacional e internacional) insuficiente para intensificar las respuestas nacionales a las ECNT</w:t>
            </w:r>
          </w:p>
        </w:tc>
      </w:tr>
      <w:tr w:rsidR="006B69F8" w:rsidRPr="00641EE6" w14:paraId="33D65F32" w14:textId="77777777" w:rsidTr="00FD1850">
        <w:tc>
          <w:tcPr>
            <w:cnfStyle w:val="001000000000" w:firstRow="0" w:lastRow="0" w:firstColumn="1" w:lastColumn="0" w:oddVBand="0" w:evenVBand="0" w:oddHBand="0" w:evenHBand="0" w:firstRowFirstColumn="0" w:firstRowLastColumn="0" w:lastRowFirstColumn="0" w:lastRowLastColumn="0"/>
            <w:tcW w:w="562" w:type="dxa"/>
          </w:tcPr>
          <w:p w14:paraId="68B0212D" w14:textId="77777777" w:rsidR="006B69F8" w:rsidRPr="00A534BF" w:rsidRDefault="00FD1850" w:rsidP="00F30204">
            <w:pPr>
              <w:jc w:val="both"/>
              <w:rPr>
                <w:rFonts w:ascii="Times New Roman" w:hAnsi="Times New Roman" w:cs="Times New Roman"/>
                <w:i/>
                <w:sz w:val="24"/>
                <w:szCs w:val="24"/>
                <w:lang w:val="es-AR"/>
              </w:rPr>
            </w:pPr>
            <w:r w:rsidRPr="00A534BF">
              <w:rPr>
                <w:rFonts w:ascii="Times New Roman" w:hAnsi="Times New Roman" w:cs="Times New Roman"/>
                <w:i/>
                <w:sz w:val="24"/>
                <w:szCs w:val="24"/>
                <w:lang w:val="es-AR"/>
              </w:rPr>
              <w:t>7</w:t>
            </w:r>
          </w:p>
        </w:tc>
        <w:tc>
          <w:tcPr>
            <w:tcW w:w="7932" w:type="dxa"/>
          </w:tcPr>
          <w:p w14:paraId="47F59809" w14:textId="491B524D" w:rsidR="006B69F8" w:rsidRPr="00A534BF" w:rsidRDefault="00FD1850" w:rsidP="00F3020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0"/>
                <w:szCs w:val="20"/>
                <w:lang w:val="es-AR"/>
              </w:rPr>
            </w:pPr>
            <w:r w:rsidRPr="00A534BF">
              <w:rPr>
                <w:rFonts w:ascii="Times New Roman" w:hAnsi="Times New Roman" w:cs="Times New Roman"/>
                <w:i/>
                <w:sz w:val="20"/>
                <w:szCs w:val="20"/>
                <w:lang w:val="es-AR"/>
              </w:rPr>
              <w:t xml:space="preserve">Falta de </w:t>
            </w:r>
            <w:r w:rsidR="00547063" w:rsidRPr="00A534BF">
              <w:rPr>
                <w:rFonts w:ascii="Times New Roman" w:hAnsi="Times New Roman" w:cs="Times New Roman"/>
                <w:i/>
                <w:sz w:val="20"/>
                <w:szCs w:val="20"/>
                <w:lang w:val="es-AR"/>
              </w:rPr>
              <w:t>r</w:t>
            </w:r>
            <w:r w:rsidRPr="00A534BF">
              <w:rPr>
                <w:rFonts w:ascii="Times New Roman" w:hAnsi="Times New Roman" w:cs="Times New Roman"/>
                <w:i/>
                <w:sz w:val="20"/>
                <w:szCs w:val="20"/>
                <w:lang w:val="es-AR"/>
              </w:rPr>
              <w:t>endición de cuentas</w:t>
            </w:r>
          </w:p>
        </w:tc>
      </w:tr>
    </w:tbl>
    <w:p w14:paraId="420ED768" w14:textId="77777777" w:rsidR="00B36ADB" w:rsidRPr="00A534BF" w:rsidRDefault="00FD1850" w:rsidP="00F30204">
      <w:pPr>
        <w:jc w:val="both"/>
        <w:rPr>
          <w:rFonts w:ascii="Times New Roman" w:hAnsi="Times New Roman" w:cs="Times New Roman"/>
          <w:sz w:val="20"/>
          <w:szCs w:val="20"/>
          <w:lang w:val="es-AR"/>
        </w:rPr>
      </w:pPr>
      <w:r w:rsidRPr="00A534BF">
        <w:rPr>
          <w:rFonts w:ascii="Times New Roman" w:hAnsi="Times New Roman" w:cs="Times New Roman"/>
          <w:i/>
          <w:sz w:val="20"/>
          <w:szCs w:val="20"/>
          <w:lang w:val="es-AR"/>
        </w:rPr>
        <w:t xml:space="preserve">Fuente: OMS (2018) </w:t>
      </w:r>
      <w:r w:rsidRPr="00A534BF">
        <w:rPr>
          <w:rFonts w:ascii="Times New Roman" w:hAnsi="Times New Roman" w:cs="Times New Roman"/>
          <w:sz w:val="20"/>
          <w:szCs w:val="20"/>
          <w:lang w:val="es-AR"/>
        </w:rPr>
        <w:t xml:space="preserve">Informe de la Comisión Independiente de Alto Nivel de la OMS sobre Enfermedades No Transmisibles. Disponible en:  </w:t>
      </w:r>
      <w:hyperlink r:id="rId12" w:history="1">
        <w:r w:rsidRPr="00A534BF">
          <w:rPr>
            <w:rStyle w:val="Hipervnculo"/>
            <w:rFonts w:ascii="Times New Roman" w:hAnsi="Times New Roman" w:cs="Times New Roman"/>
            <w:sz w:val="20"/>
            <w:szCs w:val="20"/>
            <w:lang w:val="es-AR"/>
          </w:rPr>
          <w:t>http://apps.who.int/iris/bitstream/handle/10665/272712/9789243514161-spa.pdf?ua=1</w:t>
        </w:r>
      </w:hyperlink>
      <w:r w:rsidRPr="00A534BF">
        <w:rPr>
          <w:rFonts w:ascii="Times New Roman" w:hAnsi="Times New Roman" w:cs="Times New Roman"/>
          <w:sz w:val="20"/>
          <w:szCs w:val="20"/>
          <w:lang w:val="es-AR"/>
        </w:rPr>
        <w:t xml:space="preserve"> . Acceso 8 de junio de 2018</w:t>
      </w:r>
    </w:p>
    <w:p w14:paraId="4E6A8D3E" w14:textId="77777777" w:rsidR="00FD1850" w:rsidRPr="00A534BF" w:rsidRDefault="00FD1850" w:rsidP="003B74A4">
      <w:pPr>
        <w:rPr>
          <w:rFonts w:ascii="Times New Roman" w:hAnsi="Times New Roman" w:cs="Times New Roman"/>
          <w:sz w:val="24"/>
          <w:szCs w:val="24"/>
          <w:lang w:val="es-AR"/>
        </w:rPr>
      </w:pPr>
    </w:p>
    <w:p w14:paraId="2B1440E3" w14:textId="66A50B0D" w:rsidR="006B69F8" w:rsidRPr="00A534BF" w:rsidRDefault="00FD1850"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 xml:space="preserve">En relación al primer </w:t>
      </w:r>
      <w:r w:rsidR="00706A64" w:rsidRPr="00A534BF">
        <w:rPr>
          <w:rFonts w:ascii="Times New Roman" w:hAnsi="Times New Roman" w:cs="Times New Roman"/>
          <w:sz w:val="24"/>
          <w:szCs w:val="24"/>
          <w:lang w:val="es-AR"/>
        </w:rPr>
        <w:t>o</w:t>
      </w:r>
      <w:r w:rsidRPr="00A534BF">
        <w:rPr>
          <w:rFonts w:ascii="Times New Roman" w:hAnsi="Times New Roman" w:cs="Times New Roman"/>
          <w:sz w:val="24"/>
          <w:szCs w:val="24"/>
          <w:lang w:val="es-AR"/>
        </w:rPr>
        <w:t>bstáculo</w:t>
      </w:r>
      <w:r w:rsidR="009272F3" w:rsidRPr="00A534BF">
        <w:rPr>
          <w:rFonts w:ascii="Times New Roman" w:hAnsi="Times New Roman" w:cs="Times New Roman"/>
          <w:sz w:val="24"/>
          <w:szCs w:val="24"/>
          <w:lang w:val="es-AR"/>
        </w:rPr>
        <w:t xml:space="preserve"> (</w:t>
      </w:r>
      <w:r w:rsidR="009272F3" w:rsidRPr="00A534BF">
        <w:rPr>
          <w:rFonts w:ascii="Times New Roman" w:hAnsi="Times New Roman" w:cs="Times New Roman"/>
          <w:i/>
          <w:sz w:val="24"/>
          <w:szCs w:val="24"/>
          <w:lang w:val="es-AR"/>
        </w:rPr>
        <w:t xml:space="preserve">Falta de </w:t>
      </w:r>
      <w:r w:rsidR="00706A64" w:rsidRPr="00A534BF">
        <w:rPr>
          <w:rFonts w:ascii="Times New Roman" w:hAnsi="Times New Roman" w:cs="Times New Roman"/>
          <w:i/>
          <w:sz w:val="24"/>
          <w:szCs w:val="24"/>
          <w:lang w:val="es-AR"/>
        </w:rPr>
        <w:t>v</w:t>
      </w:r>
      <w:r w:rsidR="009272F3" w:rsidRPr="00A534BF">
        <w:rPr>
          <w:rFonts w:ascii="Times New Roman" w:hAnsi="Times New Roman" w:cs="Times New Roman"/>
          <w:i/>
          <w:sz w:val="24"/>
          <w:szCs w:val="24"/>
          <w:lang w:val="es-AR"/>
        </w:rPr>
        <w:t xml:space="preserve">oluntad </w:t>
      </w:r>
      <w:r w:rsidR="00706A64" w:rsidRPr="00A534BF">
        <w:rPr>
          <w:rFonts w:ascii="Times New Roman" w:hAnsi="Times New Roman" w:cs="Times New Roman"/>
          <w:i/>
          <w:sz w:val="24"/>
          <w:szCs w:val="24"/>
          <w:lang w:val="es-AR"/>
        </w:rPr>
        <w:t>p</w:t>
      </w:r>
      <w:r w:rsidR="009272F3" w:rsidRPr="00A534BF">
        <w:rPr>
          <w:rFonts w:ascii="Times New Roman" w:hAnsi="Times New Roman" w:cs="Times New Roman"/>
          <w:i/>
          <w:sz w:val="24"/>
          <w:szCs w:val="24"/>
          <w:lang w:val="es-AR"/>
        </w:rPr>
        <w:t>olítica, compromiso, capacidad y medidas)</w:t>
      </w:r>
      <w:r w:rsidRPr="00A534BF">
        <w:rPr>
          <w:rFonts w:ascii="Times New Roman" w:hAnsi="Times New Roman" w:cs="Times New Roman"/>
          <w:sz w:val="24"/>
          <w:szCs w:val="24"/>
          <w:lang w:val="es-AR"/>
        </w:rPr>
        <w:t xml:space="preserve"> las Reuniones de Ministros de Salud del MERCOSUR nos brindan un marco de inestimable valor para poder reforzar los compromisos con el ODS 3 Salud y el alcance de la meta de las ECNT. Su dependencia del Consejo del Mercado Común (CMC) como un órgano superior del MERCOSUR y responsable por la gestión política permitiría una oportunidad para colocar el tema en la Agenda de los Presi</w:t>
      </w:r>
      <w:r w:rsidR="009272F3" w:rsidRPr="00A534BF">
        <w:rPr>
          <w:rFonts w:ascii="Times New Roman" w:hAnsi="Times New Roman" w:cs="Times New Roman"/>
          <w:sz w:val="24"/>
          <w:szCs w:val="24"/>
          <w:lang w:val="es-AR"/>
        </w:rPr>
        <w:t xml:space="preserve">dentes. Por otro lado, desde el punto de vista regulatorio, el </w:t>
      </w:r>
      <w:r w:rsidR="00B36ADB" w:rsidRPr="00A534BF">
        <w:rPr>
          <w:rFonts w:ascii="Times New Roman" w:hAnsi="Times New Roman" w:cs="Times New Roman"/>
          <w:sz w:val="24"/>
          <w:szCs w:val="24"/>
          <w:lang w:val="es-AR"/>
        </w:rPr>
        <w:t>SGT Salud del MERCOSUR en alianza con otros Subgrupos de Trabajo, podrían propiciar reglamentaciones para la reducción del sodio, los azucares, grasas saturadas y trans en los alimentos procesados</w:t>
      </w:r>
      <w:r w:rsidR="009272F3" w:rsidRPr="00A534BF">
        <w:rPr>
          <w:rStyle w:val="Refdenotaalpie"/>
          <w:rFonts w:ascii="Times New Roman" w:hAnsi="Times New Roman" w:cs="Times New Roman"/>
          <w:sz w:val="24"/>
          <w:szCs w:val="24"/>
          <w:lang w:val="es-AR"/>
        </w:rPr>
        <w:footnoteReference w:id="27"/>
      </w:r>
      <w:r w:rsidR="006B69F8" w:rsidRPr="00A534BF">
        <w:rPr>
          <w:rFonts w:ascii="Times New Roman" w:hAnsi="Times New Roman" w:cs="Times New Roman"/>
          <w:sz w:val="24"/>
          <w:szCs w:val="24"/>
          <w:lang w:val="es-AR"/>
        </w:rPr>
        <w:t>.</w:t>
      </w:r>
    </w:p>
    <w:p w14:paraId="430A1FCD" w14:textId="52B810A9" w:rsidR="00BA0BA6" w:rsidRPr="00A534BF" w:rsidRDefault="009272F3"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 xml:space="preserve">En relación con el </w:t>
      </w:r>
      <w:r w:rsidRPr="00A534BF">
        <w:rPr>
          <w:rFonts w:ascii="Times New Roman" w:hAnsi="Times New Roman" w:cs="Times New Roman"/>
          <w:i/>
          <w:sz w:val="24"/>
          <w:szCs w:val="24"/>
          <w:lang w:val="es-AR"/>
        </w:rPr>
        <w:t>obstáculo 2</w:t>
      </w:r>
      <w:r w:rsidRPr="00A534BF">
        <w:rPr>
          <w:rFonts w:ascii="Times New Roman" w:hAnsi="Times New Roman" w:cs="Times New Roman"/>
          <w:sz w:val="24"/>
          <w:szCs w:val="24"/>
          <w:lang w:val="es-AR"/>
        </w:rPr>
        <w:t xml:space="preserve"> (</w:t>
      </w:r>
      <w:r w:rsidRPr="00A534BF">
        <w:rPr>
          <w:rFonts w:ascii="Times New Roman" w:hAnsi="Times New Roman" w:cs="Times New Roman"/>
          <w:i/>
          <w:sz w:val="24"/>
          <w:szCs w:val="24"/>
          <w:lang w:val="es-AR"/>
        </w:rPr>
        <w:t xml:space="preserve">Falta de </w:t>
      </w:r>
      <w:r w:rsidR="00837386" w:rsidRPr="00A534BF">
        <w:rPr>
          <w:rFonts w:ascii="Times New Roman" w:hAnsi="Times New Roman" w:cs="Times New Roman"/>
          <w:i/>
          <w:sz w:val="24"/>
          <w:szCs w:val="24"/>
          <w:lang w:val="es-AR"/>
        </w:rPr>
        <w:t>p</w:t>
      </w:r>
      <w:r w:rsidRPr="00A534BF">
        <w:rPr>
          <w:rFonts w:ascii="Times New Roman" w:hAnsi="Times New Roman" w:cs="Times New Roman"/>
          <w:i/>
          <w:sz w:val="24"/>
          <w:szCs w:val="24"/>
          <w:lang w:val="es-AR"/>
        </w:rPr>
        <w:t xml:space="preserve">olíticas y </w:t>
      </w:r>
      <w:r w:rsidR="00265293" w:rsidRPr="00A534BF">
        <w:rPr>
          <w:rFonts w:ascii="Times New Roman" w:hAnsi="Times New Roman" w:cs="Times New Roman"/>
          <w:i/>
          <w:sz w:val="24"/>
          <w:szCs w:val="24"/>
          <w:lang w:val="es-AR"/>
        </w:rPr>
        <w:t>p</w:t>
      </w:r>
      <w:r w:rsidRPr="00A534BF">
        <w:rPr>
          <w:rFonts w:ascii="Times New Roman" w:hAnsi="Times New Roman" w:cs="Times New Roman"/>
          <w:i/>
          <w:sz w:val="24"/>
          <w:szCs w:val="24"/>
          <w:lang w:val="es-AR"/>
        </w:rPr>
        <w:t xml:space="preserve">lanes concernientes a las ECNT) </w:t>
      </w:r>
      <w:r w:rsidRPr="00A534BF">
        <w:rPr>
          <w:rFonts w:ascii="Times New Roman" w:hAnsi="Times New Roman" w:cs="Times New Roman"/>
          <w:sz w:val="24"/>
          <w:szCs w:val="24"/>
          <w:lang w:val="es-AR"/>
        </w:rPr>
        <w:t>como  se observó en el cuadro N</w:t>
      </w:r>
      <w:r w:rsidRPr="00A534BF">
        <w:rPr>
          <w:rFonts w:ascii="Times New Roman" w:hAnsi="Times New Roman" w:cs="Times New Roman"/>
          <w:sz w:val="24"/>
          <w:szCs w:val="24"/>
          <w:vertAlign w:val="superscript"/>
          <w:lang w:val="es-AR"/>
        </w:rPr>
        <w:t>ro</w:t>
      </w:r>
      <w:r w:rsidRPr="00A534BF">
        <w:rPr>
          <w:rFonts w:ascii="Times New Roman" w:hAnsi="Times New Roman" w:cs="Times New Roman"/>
          <w:sz w:val="24"/>
          <w:szCs w:val="24"/>
          <w:lang w:val="es-AR"/>
        </w:rPr>
        <w:t xml:space="preserve"> 5, ya hay políticas en curso en los Estados parte. No </w:t>
      </w:r>
      <w:r w:rsidRPr="00A534BF">
        <w:rPr>
          <w:rFonts w:ascii="Times New Roman" w:hAnsi="Times New Roman" w:cs="Times New Roman"/>
          <w:sz w:val="24"/>
          <w:szCs w:val="24"/>
          <w:lang w:val="es-AR"/>
        </w:rPr>
        <w:lastRenderedPageBreak/>
        <w:t xml:space="preserve">obstante, como se ha mencionado, la estrategia de </w:t>
      </w:r>
      <w:r w:rsidR="00265293" w:rsidRPr="00A534BF">
        <w:rPr>
          <w:rFonts w:ascii="Times New Roman" w:hAnsi="Times New Roman" w:cs="Times New Roman"/>
          <w:sz w:val="24"/>
          <w:szCs w:val="24"/>
          <w:lang w:val="es-AR"/>
        </w:rPr>
        <w:t>S</w:t>
      </w:r>
      <w:r w:rsidRPr="00A534BF">
        <w:rPr>
          <w:rFonts w:ascii="Times New Roman" w:hAnsi="Times New Roman" w:cs="Times New Roman"/>
          <w:sz w:val="24"/>
          <w:szCs w:val="24"/>
          <w:lang w:val="es-AR"/>
        </w:rPr>
        <w:t xml:space="preserve">alud en </w:t>
      </w:r>
      <w:r w:rsidR="00265293" w:rsidRPr="00A534BF">
        <w:rPr>
          <w:rFonts w:ascii="Times New Roman" w:hAnsi="Times New Roman" w:cs="Times New Roman"/>
          <w:sz w:val="24"/>
          <w:szCs w:val="24"/>
          <w:lang w:val="es-AR"/>
        </w:rPr>
        <w:t>T</w:t>
      </w:r>
      <w:r w:rsidRPr="00A534BF">
        <w:rPr>
          <w:rFonts w:ascii="Times New Roman" w:hAnsi="Times New Roman" w:cs="Times New Roman"/>
          <w:sz w:val="24"/>
          <w:szCs w:val="24"/>
          <w:lang w:val="es-AR"/>
        </w:rPr>
        <w:t xml:space="preserve">odas las </w:t>
      </w:r>
      <w:r w:rsidR="00265293" w:rsidRPr="00A534BF">
        <w:rPr>
          <w:rFonts w:ascii="Times New Roman" w:hAnsi="Times New Roman" w:cs="Times New Roman"/>
          <w:sz w:val="24"/>
          <w:szCs w:val="24"/>
          <w:lang w:val="es-AR"/>
        </w:rPr>
        <w:t>P</w:t>
      </w:r>
      <w:r w:rsidRPr="00A534BF">
        <w:rPr>
          <w:rFonts w:ascii="Times New Roman" w:hAnsi="Times New Roman" w:cs="Times New Roman"/>
          <w:sz w:val="24"/>
          <w:szCs w:val="24"/>
          <w:lang w:val="es-AR"/>
        </w:rPr>
        <w:t xml:space="preserve">olíticas nos plantea el desafío para el </w:t>
      </w:r>
      <w:r w:rsidRPr="00A534BF">
        <w:rPr>
          <w:rFonts w:ascii="Times New Roman" w:hAnsi="Times New Roman" w:cs="Times New Roman"/>
          <w:i/>
          <w:sz w:val="24"/>
          <w:szCs w:val="24"/>
          <w:lang w:val="es-AR"/>
        </w:rPr>
        <w:t>policy making</w:t>
      </w:r>
      <w:r w:rsidRPr="00A534BF">
        <w:rPr>
          <w:rFonts w:ascii="Times New Roman" w:hAnsi="Times New Roman" w:cs="Times New Roman"/>
          <w:sz w:val="24"/>
          <w:szCs w:val="24"/>
          <w:lang w:val="es-AR"/>
        </w:rPr>
        <w:t xml:space="preserve"> de formular políticas</w:t>
      </w:r>
      <w:r w:rsidR="00706A64"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involucrando a los otros sectores. Por ejemplo: la reducción de factores de riesgo para las ECNT nos implica trabajar con </w:t>
      </w:r>
      <w:r w:rsidR="00265293" w:rsidRPr="00A534BF">
        <w:rPr>
          <w:rFonts w:ascii="Times New Roman" w:hAnsi="Times New Roman" w:cs="Times New Roman"/>
          <w:sz w:val="24"/>
          <w:szCs w:val="24"/>
          <w:lang w:val="es-AR"/>
        </w:rPr>
        <w:t xml:space="preserve">diversos </w:t>
      </w:r>
      <w:r w:rsidRPr="00A534BF">
        <w:rPr>
          <w:rFonts w:ascii="Times New Roman" w:hAnsi="Times New Roman" w:cs="Times New Roman"/>
          <w:sz w:val="24"/>
          <w:szCs w:val="24"/>
          <w:lang w:val="es-AR"/>
        </w:rPr>
        <w:t xml:space="preserve"> sector</w:t>
      </w:r>
      <w:r w:rsidR="00265293" w:rsidRPr="00A534BF">
        <w:rPr>
          <w:rFonts w:ascii="Times New Roman" w:hAnsi="Times New Roman" w:cs="Times New Roman"/>
          <w:sz w:val="24"/>
          <w:szCs w:val="24"/>
          <w:lang w:val="es-AR"/>
        </w:rPr>
        <w:t>es</w:t>
      </w:r>
      <w:r w:rsidRPr="00A534BF">
        <w:rPr>
          <w:rFonts w:ascii="Times New Roman" w:hAnsi="Times New Roman" w:cs="Times New Roman"/>
          <w:sz w:val="24"/>
          <w:szCs w:val="24"/>
          <w:lang w:val="es-AR"/>
        </w:rPr>
        <w:t xml:space="preserve"> </w:t>
      </w:r>
      <w:r w:rsidR="006F7B25" w:rsidRPr="00A534BF">
        <w:rPr>
          <w:rFonts w:ascii="Times New Roman" w:hAnsi="Times New Roman" w:cs="Times New Roman"/>
          <w:sz w:val="24"/>
          <w:szCs w:val="24"/>
          <w:lang w:val="es-AR"/>
        </w:rPr>
        <w:t xml:space="preserve">para </w:t>
      </w:r>
      <w:r w:rsidRPr="00A534BF">
        <w:rPr>
          <w:rFonts w:ascii="Times New Roman" w:hAnsi="Times New Roman" w:cs="Times New Roman"/>
          <w:sz w:val="24"/>
          <w:szCs w:val="24"/>
          <w:lang w:val="es-AR"/>
        </w:rPr>
        <w:t>promover la actividad física, la construcción de entornos físicos y sociales adecuados</w:t>
      </w:r>
      <w:r w:rsidR="00265293"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para reducir y disminuir la exposición a los riesgos, la promoción de comportamientos saludables </w:t>
      </w:r>
      <w:r w:rsidR="00265293" w:rsidRPr="00A534BF">
        <w:rPr>
          <w:rFonts w:ascii="Times New Roman" w:hAnsi="Times New Roman" w:cs="Times New Roman"/>
          <w:sz w:val="24"/>
          <w:szCs w:val="24"/>
          <w:lang w:val="es-AR"/>
        </w:rPr>
        <w:t xml:space="preserve">junto </w:t>
      </w:r>
      <w:r w:rsidRPr="00A534BF">
        <w:rPr>
          <w:rFonts w:ascii="Times New Roman" w:hAnsi="Times New Roman" w:cs="Times New Roman"/>
          <w:sz w:val="24"/>
          <w:szCs w:val="24"/>
          <w:lang w:val="es-AR"/>
        </w:rPr>
        <w:t>a la población</w:t>
      </w:r>
      <w:r w:rsidR="00265293" w:rsidRPr="00A534BF">
        <w:rPr>
          <w:rFonts w:ascii="Times New Roman" w:hAnsi="Times New Roman" w:cs="Times New Roman"/>
          <w:sz w:val="24"/>
          <w:szCs w:val="24"/>
          <w:lang w:val="es-AR"/>
        </w:rPr>
        <w:t>, regulación sobre alimentos entre otros</w:t>
      </w:r>
      <w:r w:rsidRPr="00A534BF">
        <w:rPr>
          <w:rFonts w:ascii="Times New Roman" w:hAnsi="Times New Roman" w:cs="Times New Roman"/>
          <w:sz w:val="24"/>
          <w:szCs w:val="24"/>
          <w:lang w:val="es-AR"/>
        </w:rPr>
        <w:t>.  Nuevamente, el Plan</w:t>
      </w:r>
      <w:r w:rsidR="00BA0BA6" w:rsidRPr="00A534BF">
        <w:rPr>
          <w:rFonts w:ascii="Times New Roman" w:hAnsi="Times New Roman" w:cs="Times New Roman"/>
          <w:sz w:val="24"/>
          <w:szCs w:val="24"/>
          <w:lang w:val="es-AR"/>
        </w:rPr>
        <w:t xml:space="preserve"> de Acción Social del MERCOSUR así como el Instituto Social del MERCOSUR nos tendrían que brindar una ventana de oportunidades para trabajar en forma intersectorial</w:t>
      </w:r>
      <w:r w:rsidR="006F7B25" w:rsidRPr="00A534BF">
        <w:rPr>
          <w:rFonts w:ascii="Times New Roman" w:hAnsi="Times New Roman" w:cs="Times New Roman"/>
          <w:sz w:val="24"/>
          <w:szCs w:val="24"/>
          <w:lang w:val="es-AR"/>
        </w:rPr>
        <w:t>, articulando los sectores sociales y sinergizandolos en pro de un problema de salud global como son las ECNT.</w:t>
      </w:r>
    </w:p>
    <w:p w14:paraId="7672E56B" w14:textId="4948306C" w:rsidR="002955B8" w:rsidRPr="00A534BF" w:rsidRDefault="00BA0BA6"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 xml:space="preserve">En relación al </w:t>
      </w:r>
      <w:r w:rsidRPr="00A534BF">
        <w:rPr>
          <w:rFonts w:ascii="Times New Roman" w:hAnsi="Times New Roman" w:cs="Times New Roman"/>
          <w:i/>
          <w:sz w:val="24"/>
          <w:szCs w:val="24"/>
          <w:lang w:val="es-AR"/>
        </w:rPr>
        <w:t>obstáculo 3</w:t>
      </w:r>
      <w:r w:rsidR="009272F3" w:rsidRPr="00A534BF">
        <w:rPr>
          <w:rFonts w:ascii="Times New Roman" w:hAnsi="Times New Roman" w:cs="Times New Roman"/>
          <w:sz w:val="24"/>
          <w:szCs w:val="24"/>
          <w:lang w:val="es-AR"/>
        </w:rPr>
        <w:t xml:space="preserve"> </w:t>
      </w:r>
      <w:r w:rsidRPr="00A534BF">
        <w:rPr>
          <w:rFonts w:ascii="Times New Roman" w:hAnsi="Times New Roman" w:cs="Times New Roman"/>
          <w:sz w:val="24"/>
          <w:szCs w:val="24"/>
          <w:lang w:val="es-AR"/>
        </w:rPr>
        <w:t>(</w:t>
      </w:r>
      <w:r w:rsidRPr="00A534BF">
        <w:rPr>
          <w:rFonts w:ascii="Times New Roman" w:hAnsi="Times New Roman" w:cs="Times New Roman"/>
          <w:i/>
          <w:sz w:val="24"/>
          <w:szCs w:val="24"/>
          <w:lang w:val="es-AR"/>
        </w:rPr>
        <w:t xml:space="preserve">Dificultad para el </w:t>
      </w:r>
      <w:r w:rsidR="00265293" w:rsidRPr="00A534BF">
        <w:rPr>
          <w:rFonts w:ascii="Times New Roman" w:hAnsi="Times New Roman" w:cs="Times New Roman"/>
          <w:i/>
          <w:sz w:val="24"/>
          <w:szCs w:val="24"/>
          <w:lang w:val="es-AR"/>
        </w:rPr>
        <w:t>e</w:t>
      </w:r>
      <w:r w:rsidRPr="00A534BF">
        <w:rPr>
          <w:rFonts w:ascii="Times New Roman" w:hAnsi="Times New Roman" w:cs="Times New Roman"/>
          <w:i/>
          <w:sz w:val="24"/>
          <w:szCs w:val="24"/>
          <w:lang w:val="es-AR"/>
        </w:rPr>
        <w:t xml:space="preserve">stablecimiento de </w:t>
      </w:r>
      <w:r w:rsidR="00265293" w:rsidRPr="00A534BF">
        <w:rPr>
          <w:rFonts w:ascii="Times New Roman" w:hAnsi="Times New Roman" w:cs="Times New Roman"/>
          <w:i/>
          <w:sz w:val="24"/>
          <w:szCs w:val="24"/>
          <w:lang w:val="es-AR"/>
        </w:rPr>
        <w:t>p</w:t>
      </w:r>
      <w:r w:rsidRPr="00A534BF">
        <w:rPr>
          <w:rFonts w:ascii="Times New Roman" w:hAnsi="Times New Roman" w:cs="Times New Roman"/>
          <w:i/>
          <w:sz w:val="24"/>
          <w:szCs w:val="24"/>
          <w:lang w:val="es-AR"/>
        </w:rPr>
        <w:t>rioridades)</w:t>
      </w:r>
      <w:r w:rsidRPr="00A534BF">
        <w:rPr>
          <w:rFonts w:ascii="Times New Roman" w:hAnsi="Times New Roman" w:cs="Times New Roman"/>
          <w:sz w:val="24"/>
          <w:szCs w:val="24"/>
          <w:lang w:val="es-AR"/>
        </w:rPr>
        <w:t>, priorizar significa que los países del bloque eli</w:t>
      </w:r>
      <w:r w:rsidR="00265293" w:rsidRPr="00A534BF">
        <w:rPr>
          <w:rFonts w:ascii="Times New Roman" w:hAnsi="Times New Roman" w:cs="Times New Roman"/>
          <w:sz w:val="24"/>
          <w:szCs w:val="24"/>
          <w:lang w:val="es-AR"/>
        </w:rPr>
        <w:t>j</w:t>
      </w:r>
      <w:r w:rsidRPr="00A534BF">
        <w:rPr>
          <w:rFonts w:ascii="Times New Roman" w:hAnsi="Times New Roman" w:cs="Times New Roman"/>
          <w:sz w:val="24"/>
          <w:szCs w:val="24"/>
          <w:lang w:val="es-AR"/>
        </w:rPr>
        <w:t>an un camino</w:t>
      </w:r>
      <w:r w:rsidRPr="00A534BF">
        <w:rPr>
          <w:rFonts w:ascii="Times New Roman" w:hAnsi="Times New Roman" w:cs="Times New Roman"/>
          <w:sz w:val="24"/>
          <w:szCs w:val="24"/>
          <w:lang w:val="uz-Cyrl-UZ"/>
        </w:rPr>
        <w:t xml:space="preserve"> para alcanzar lo que nos hemos planteado em el ODS 3 y</w:t>
      </w:r>
      <w:r w:rsidR="00265293" w:rsidRPr="00A534BF">
        <w:rPr>
          <w:rFonts w:ascii="Times New Roman" w:hAnsi="Times New Roman" w:cs="Times New Roman"/>
          <w:sz w:val="24"/>
          <w:szCs w:val="24"/>
          <w:lang w:val="uz-Cyrl-UZ"/>
        </w:rPr>
        <w:t>,</w:t>
      </w:r>
      <w:r w:rsidRPr="00A534BF">
        <w:rPr>
          <w:rFonts w:ascii="Times New Roman" w:hAnsi="Times New Roman" w:cs="Times New Roman"/>
          <w:sz w:val="24"/>
          <w:szCs w:val="24"/>
          <w:lang w:val="uz-Cyrl-UZ"/>
        </w:rPr>
        <w:t xml:space="preserve"> en particular</w:t>
      </w:r>
      <w:r w:rsidR="00265293" w:rsidRPr="00A534BF">
        <w:rPr>
          <w:rFonts w:ascii="Times New Roman" w:hAnsi="Times New Roman" w:cs="Times New Roman"/>
          <w:sz w:val="24"/>
          <w:szCs w:val="24"/>
          <w:lang w:val="uz-Cyrl-UZ"/>
        </w:rPr>
        <w:t>,</w:t>
      </w:r>
      <w:r w:rsidRPr="00A534BF">
        <w:rPr>
          <w:rFonts w:ascii="Times New Roman" w:hAnsi="Times New Roman" w:cs="Times New Roman"/>
          <w:sz w:val="24"/>
          <w:szCs w:val="24"/>
          <w:lang w:val="uz-Cyrl-UZ"/>
        </w:rPr>
        <w:t xml:space="preserve"> en su meta </w:t>
      </w:r>
      <w:r w:rsidRPr="00A534BF">
        <w:rPr>
          <w:rFonts w:ascii="Times New Roman" w:hAnsi="Times New Roman" w:cs="Times New Roman"/>
          <w:sz w:val="24"/>
          <w:szCs w:val="24"/>
          <w:lang w:val="es-AR"/>
        </w:rPr>
        <w:t xml:space="preserve"> </w:t>
      </w:r>
      <w:r w:rsidR="00265293" w:rsidRPr="00A534BF">
        <w:rPr>
          <w:rFonts w:ascii="Times New Roman" w:hAnsi="Times New Roman" w:cs="Times New Roman"/>
          <w:sz w:val="24"/>
          <w:szCs w:val="24"/>
          <w:lang w:val="es-AR"/>
        </w:rPr>
        <w:t xml:space="preserve">hasta el 2030, </w:t>
      </w:r>
      <w:r w:rsidR="00706A64" w:rsidRPr="00A534BF">
        <w:rPr>
          <w:rFonts w:ascii="Times New Roman" w:hAnsi="Times New Roman" w:cs="Times New Roman"/>
          <w:sz w:val="24"/>
          <w:szCs w:val="24"/>
          <w:lang w:val="es-AR"/>
        </w:rPr>
        <w:t xml:space="preserve">de </w:t>
      </w:r>
      <w:r w:rsidRPr="00A534BF">
        <w:rPr>
          <w:rFonts w:ascii="Times New Roman" w:hAnsi="Times New Roman" w:cs="Times New Roman"/>
          <w:sz w:val="24"/>
          <w:szCs w:val="24"/>
          <w:lang w:val="es-AR"/>
        </w:rPr>
        <w:t xml:space="preserve">reducir en un tercio la mortalidad prematura por </w:t>
      </w:r>
      <w:r w:rsidR="00265293" w:rsidRPr="00A534BF">
        <w:rPr>
          <w:rFonts w:ascii="Times New Roman" w:hAnsi="Times New Roman" w:cs="Times New Roman"/>
          <w:sz w:val="24"/>
          <w:szCs w:val="24"/>
          <w:lang w:val="es-AR"/>
        </w:rPr>
        <w:t xml:space="preserve">ECNT </w:t>
      </w:r>
      <w:r w:rsidRPr="00A534BF">
        <w:rPr>
          <w:rFonts w:ascii="Times New Roman" w:hAnsi="Times New Roman" w:cs="Times New Roman"/>
          <w:sz w:val="24"/>
          <w:szCs w:val="24"/>
          <w:lang w:val="es-AR"/>
        </w:rPr>
        <w:t xml:space="preserve"> mediante la prevención y el tratamiento y promover la salud mental y el bienestar.</w:t>
      </w:r>
      <w:r w:rsidR="00854DF0" w:rsidRPr="00A534BF">
        <w:rPr>
          <w:rFonts w:ascii="Times New Roman" w:hAnsi="Times New Roman" w:cs="Times New Roman"/>
          <w:sz w:val="24"/>
          <w:szCs w:val="24"/>
          <w:lang w:val="es-AR"/>
        </w:rPr>
        <w:t xml:space="preserve"> Es necesario que tanto </w:t>
      </w:r>
      <w:r w:rsidR="00265293" w:rsidRPr="00A534BF">
        <w:rPr>
          <w:rFonts w:ascii="Times New Roman" w:hAnsi="Times New Roman" w:cs="Times New Roman"/>
          <w:sz w:val="24"/>
          <w:szCs w:val="24"/>
          <w:lang w:val="es-AR"/>
        </w:rPr>
        <w:t>el</w:t>
      </w:r>
      <w:r w:rsidR="00854DF0" w:rsidRPr="00A534BF">
        <w:rPr>
          <w:rFonts w:ascii="Times New Roman" w:hAnsi="Times New Roman" w:cs="Times New Roman"/>
          <w:sz w:val="24"/>
          <w:szCs w:val="24"/>
          <w:lang w:val="es-AR"/>
        </w:rPr>
        <w:t xml:space="preserve"> nivel nacional de los países</w:t>
      </w:r>
      <w:r w:rsidR="00265293" w:rsidRPr="00A534BF">
        <w:rPr>
          <w:rFonts w:ascii="Times New Roman" w:hAnsi="Times New Roman" w:cs="Times New Roman"/>
          <w:sz w:val="24"/>
          <w:szCs w:val="24"/>
          <w:lang w:val="es-AR"/>
        </w:rPr>
        <w:t>,</w:t>
      </w:r>
      <w:r w:rsidR="00854DF0" w:rsidRPr="00A534BF">
        <w:rPr>
          <w:rFonts w:ascii="Times New Roman" w:hAnsi="Times New Roman" w:cs="Times New Roman"/>
          <w:sz w:val="24"/>
          <w:szCs w:val="24"/>
          <w:lang w:val="es-AR"/>
        </w:rPr>
        <w:t xml:space="preserve"> como </w:t>
      </w:r>
      <w:r w:rsidR="00265293" w:rsidRPr="00A534BF">
        <w:rPr>
          <w:rFonts w:ascii="Times New Roman" w:hAnsi="Times New Roman" w:cs="Times New Roman"/>
          <w:sz w:val="24"/>
          <w:szCs w:val="24"/>
          <w:lang w:val="es-AR"/>
        </w:rPr>
        <w:t>el</w:t>
      </w:r>
      <w:r w:rsidR="00854DF0" w:rsidRPr="00A534BF">
        <w:rPr>
          <w:rFonts w:ascii="Times New Roman" w:hAnsi="Times New Roman" w:cs="Times New Roman"/>
          <w:sz w:val="24"/>
          <w:szCs w:val="24"/>
          <w:lang w:val="es-AR"/>
        </w:rPr>
        <w:t xml:space="preserve"> nivel regional</w:t>
      </w:r>
      <w:r w:rsidR="00265293" w:rsidRPr="00A534BF">
        <w:rPr>
          <w:rFonts w:ascii="Times New Roman" w:hAnsi="Times New Roman" w:cs="Times New Roman"/>
          <w:sz w:val="24"/>
          <w:szCs w:val="24"/>
          <w:lang w:val="es-AR"/>
        </w:rPr>
        <w:t>,</w:t>
      </w:r>
      <w:r w:rsidR="00854DF0" w:rsidRPr="00A534BF">
        <w:rPr>
          <w:rFonts w:ascii="Times New Roman" w:hAnsi="Times New Roman" w:cs="Times New Roman"/>
          <w:sz w:val="24"/>
          <w:szCs w:val="24"/>
          <w:lang w:val="es-AR"/>
        </w:rPr>
        <w:t xml:space="preserve"> c</w:t>
      </w:r>
      <w:r w:rsidR="00265293" w:rsidRPr="00A534BF">
        <w:rPr>
          <w:rFonts w:ascii="Times New Roman" w:hAnsi="Times New Roman" w:cs="Times New Roman"/>
          <w:sz w:val="24"/>
          <w:szCs w:val="24"/>
          <w:lang w:val="es-AR"/>
        </w:rPr>
        <w:t xml:space="preserve">aso del </w:t>
      </w:r>
      <w:r w:rsidR="00854DF0" w:rsidRPr="00A534BF">
        <w:rPr>
          <w:rFonts w:ascii="Times New Roman" w:hAnsi="Times New Roman" w:cs="Times New Roman"/>
          <w:sz w:val="24"/>
          <w:szCs w:val="24"/>
          <w:lang w:val="es-AR"/>
        </w:rPr>
        <w:t xml:space="preserve"> MERCOSUR</w:t>
      </w:r>
      <w:r w:rsidR="00265293" w:rsidRPr="00A534BF">
        <w:rPr>
          <w:rFonts w:ascii="Times New Roman" w:hAnsi="Times New Roman" w:cs="Times New Roman"/>
          <w:sz w:val="24"/>
          <w:szCs w:val="24"/>
          <w:lang w:val="es-AR"/>
        </w:rPr>
        <w:t>,</w:t>
      </w:r>
      <w:r w:rsidR="00854DF0" w:rsidRPr="00A534BF">
        <w:rPr>
          <w:rFonts w:ascii="Times New Roman" w:hAnsi="Times New Roman" w:cs="Times New Roman"/>
          <w:sz w:val="24"/>
          <w:szCs w:val="24"/>
          <w:lang w:val="es-AR"/>
        </w:rPr>
        <w:t xml:space="preserve"> se apropien de la Agenda. </w:t>
      </w:r>
      <w:r w:rsidR="006F7B25" w:rsidRPr="00A534BF">
        <w:rPr>
          <w:rFonts w:ascii="Times New Roman" w:hAnsi="Times New Roman" w:cs="Times New Roman"/>
          <w:sz w:val="24"/>
          <w:szCs w:val="24"/>
          <w:lang w:val="es-AR"/>
        </w:rPr>
        <w:t>Un estudio realizado por el Centro de Relaciones Internacionales en Salud CRIS/ FIOCRUZ</w:t>
      </w:r>
      <w:r w:rsidR="00854DF0" w:rsidRPr="00A534BF">
        <w:rPr>
          <w:rFonts w:ascii="Times New Roman" w:hAnsi="Times New Roman" w:cs="Times New Roman"/>
          <w:sz w:val="24"/>
          <w:szCs w:val="24"/>
          <w:lang w:val="es-AR"/>
        </w:rPr>
        <w:t xml:space="preserve"> (2018) </w:t>
      </w:r>
      <w:r w:rsidR="002955B8" w:rsidRPr="00A534BF">
        <w:rPr>
          <w:rFonts w:ascii="Times New Roman" w:hAnsi="Times New Roman" w:cs="Times New Roman"/>
          <w:sz w:val="24"/>
          <w:szCs w:val="24"/>
          <w:lang w:val="es-AR"/>
        </w:rPr>
        <w:t>analizando siete países de América Latina entre los que se encontraba Argentina y Brasil, resaltan el escaso protagonismo que ha tenido el sector salud en el proceso de incorporación e implement</w:t>
      </w:r>
      <w:r w:rsidR="006F7B25" w:rsidRPr="00A534BF">
        <w:rPr>
          <w:rFonts w:ascii="Times New Roman" w:hAnsi="Times New Roman" w:cs="Times New Roman"/>
          <w:sz w:val="24"/>
          <w:szCs w:val="24"/>
          <w:lang w:val="es-AR"/>
        </w:rPr>
        <w:t>a</w:t>
      </w:r>
      <w:r w:rsidR="002955B8" w:rsidRPr="00A534BF">
        <w:rPr>
          <w:rFonts w:ascii="Times New Roman" w:hAnsi="Times New Roman" w:cs="Times New Roman"/>
          <w:sz w:val="24"/>
          <w:szCs w:val="24"/>
          <w:lang w:val="es-AR"/>
        </w:rPr>
        <w:t>ción de la Agenda 2030 y sus ODS, así como la poco apropiación de los actores de la sociedad civil.</w:t>
      </w:r>
      <w:r w:rsidR="006F7B25" w:rsidRPr="00A534BF">
        <w:rPr>
          <w:rFonts w:ascii="Times New Roman" w:hAnsi="Times New Roman" w:cs="Times New Roman"/>
          <w:sz w:val="24"/>
          <w:szCs w:val="24"/>
          <w:lang w:val="es-AR"/>
        </w:rPr>
        <w:t xml:space="preserve"> En tal sentido, las reuniones de Ministros de Salud del MERCOSUR, así como las Reuniones de los diferentes sectores sociales del MERCOSUR podrían permitir un ámbito de inestimable valor para recuperar el protagonismo del sector salud e </w:t>
      </w:r>
      <w:r w:rsidR="00F3714E" w:rsidRPr="00A534BF">
        <w:rPr>
          <w:rFonts w:ascii="Times New Roman" w:hAnsi="Times New Roman" w:cs="Times New Roman"/>
          <w:sz w:val="24"/>
          <w:szCs w:val="24"/>
          <w:lang w:val="es-AR"/>
        </w:rPr>
        <w:t xml:space="preserve">implementar </w:t>
      </w:r>
      <w:r w:rsidR="006F7B25" w:rsidRPr="00A534BF">
        <w:rPr>
          <w:rFonts w:ascii="Times New Roman" w:hAnsi="Times New Roman" w:cs="Times New Roman"/>
          <w:sz w:val="24"/>
          <w:szCs w:val="24"/>
          <w:lang w:val="es-AR"/>
        </w:rPr>
        <w:t xml:space="preserve">políticas en cooperación entre todos los Estados Parte y entre todos los sectores involucrados.  </w:t>
      </w:r>
    </w:p>
    <w:p w14:paraId="08687DBD" w14:textId="1762ABC3" w:rsidR="00E62247" w:rsidRPr="00A534BF" w:rsidRDefault="002955B8"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 xml:space="preserve">En relación al </w:t>
      </w:r>
      <w:r w:rsidRPr="00A534BF">
        <w:rPr>
          <w:rFonts w:ascii="Times New Roman" w:hAnsi="Times New Roman" w:cs="Times New Roman"/>
          <w:i/>
          <w:sz w:val="24"/>
          <w:szCs w:val="24"/>
          <w:lang w:val="es-AR"/>
        </w:rPr>
        <w:t>obstáculo 4</w:t>
      </w:r>
      <w:r w:rsidRPr="00A534BF">
        <w:rPr>
          <w:rFonts w:ascii="Times New Roman" w:hAnsi="Times New Roman" w:cs="Times New Roman"/>
          <w:sz w:val="24"/>
          <w:szCs w:val="24"/>
          <w:lang w:val="es-AR"/>
        </w:rPr>
        <w:t xml:space="preserve"> </w:t>
      </w:r>
      <w:r w:rsidR="00F3714E" w:rsidRPr="00A534BF">
        <w:rPr>
          <w:rFonts w:ascii="Times New Roman" w:hAnsi="Times New Roman" w:cs="Times New Roman"/>
          <w:sz w:val="24"/>
          <w:szCs w:val="24"/>
          <w:lang w:val="es-AR"/>
        </w:rPr>
        <w:t>(</w:t>
      </w:r>
      <w:r w:rsidR="0088088C" w:rsidRPr="00A534BF">
        <w:rPr>
          <w:rFonts w:ascii="Times New Roman" w:hAnsi="Times New Roman" w:cs="Times New Roman"/>
          <w:i/>
          <w:sz w:val="24"/>
          <w:szCs w:val="24"/>
          <w:lang w:val="es-AR"/>
        </w:rPr>
        <w:t xml:space="preserve">Repercusiones de </w:t>
      </w:r>
      <w:r w:rsidR="009732CA" w:rsidRPr="00A534BF">
        <w:rPr>
          <w:rFonts w:ascii="Times New Roman" w:hAnsi="Times New Roman" w:cs="Times New Roman"/>
          <w:i/>
          <w:sz w:val="24"/>
          <w:szCs w:val="24"/>
          <w:lang w:val="es-AR"/>
        </w:rPr>
        <w:t>f</w:t>
      </w:r>
      <w:r w:rsidR="0088088C" w:rsidRPr="00A534BF">
        <w:rPr>
          <w:rFonts w:ascii="Times New Roman" w:hAnsi="Times New Roman" w:cs="Times New Roman"/>
          <w:i/>
          <w:sz w:val="24"/>
          <w:szCs w:val="24"/>
          <w:lang w:val="es-AR"/>
        </w:rPr>
        <w:t xml:space="preserve">actores </w:t>
      </w:r>
      <w:r w:rsidR="009732CA" w:rsidRPr="00A534BF">
        <w:rPr>
          <w:rFonts w:ascii="Times New Roman" w:hAnsi="Times New Roman" w:cs="Times New Roman"/>
          <w:i/>
          <w:sz w:val="24"/>
          <w:szCs w:val="24"/>
          <w:lang w:val="es-AR"/>
        </w:rPr>
        <w:t>e</w:t>
      </w:r>
      <w:r w:rsidR="0088088C" w:rsidRPr="00A534BF">
        <w:rPr>
          <w:rFonts w:ascii="Times New Roman" w:hAnsi="Times New Roman" w:cs="Times New Roman"/>
          <w:i/>
          <w:sz w:val="24"/>
          <w:szCs w:val="24"/>
          <w:lang w:val="es-AR"/>
        </w:rPr>
        <w:t>conómicos, comerciales y mercado</w:t>
      </w:r>
      <w:r w:rsidR="00F3714E" w:rsidRPr="00A534BF">
        <w:rPr>
          <w:rFonts w:ascii="Times New Roman" w:hAnsi="Times New Roman" w:cs="Times New Roman"/>
          <w:i/>
          <w:sz w:val="24"/>
          <w:szCs w:val="24"/>
          <w:lang w:val="es-AR"/>
        </w:rPr>
        <w:t>)</w:t>
      </w:r>
      <w:r w:rsidR="0088088C" w:rsidRPr="00A534BF">
        <w:rPr>
          <w:rFonts w:ascii="Times New Roman" w:hAnsi="Times New Roman" w:cs="Times New Roman"/>
          <w:sz w:val="24"/>
          <w:szCs w:val="24"/>
          <w:lang w:val="es-AR"/>
        </w:rPr>
        <w:t xml:space="preserve">, </w:t>
      </w:r>
      <w:r w:rsidR="001454B8" w:rsidRPr="00A534BF">
        <w:rPr>
          <w:rFonts w:ascii="Times New Roman" w:hAnsi="Times New Roman" w:cs="Times New Roman"/>
          <w:sz w:val="24"/>
          <w:szCs w:val="24"/>
          <w:lang w:val="es-AR"/>
        </w:rPr>
        <w:t xml:space="preserve">se puede observar </w:t>
      </w:r>
      <w:r w:rsidR="0088088C" w:rsidRPr="00A534BF">
        <w:rPr>
          <w:rFonts w:ascii="Times New Roman" w:hAnsi="Times New Roman" w:cs="Times New Roman"/>
          <w:sz w:val="24"/>
          <w:szCs w:val="24"/>
          <w:lang w:val="es-AR"/>
        </w:rPr>
        <w:t>la desaceleración del crecimiento económico en los países del MERCOSUR</w:t>
      </w:r>
      <w:r w:rsidR="003026A7" w:rsidRPr="00A534BF">
        <w:rPr>
          <w:rFonts w:ascii="Times New Roman" w:hAnsi="Times New Roman" w:cs="Times New Roman"/>
          <w:sz w:val="24"/>
          <w:szCs w:val="24"/>
          <w:lang w:val="es-AR"/>
        </w:rPr>
        <w:t>. En la segunda década del presente siglo, los estados miembros se encuentran con grandes desafíos para conducir su desarrollo</w:t>
      </w:r>
      <w:r w:rsidR="001454B8" w:rsidRPr="00A534BF">
        <w:rPr>
          <w:rFonts w:ascii="Times New Roman" w:hAnsi="Times New Roman" w:cs="Times New Roman"/>
          <w:sz w:val="24"/>
          <w:szCs w:val="24"/>
          <w:lang w:val="es-AR"/>
        </w:rPr>
        <w:t>. Durante el siglo XX, los modelos europeos de Estado de Bienestar sirvieron de ejemplo a todos los estados parte del MERCOSUR</w:t>
      </w:r>
      <w:r w:rsidR="00F3714E" w:rsidRPr="00A534BF">
        <w:rPr>
          <w:rFonts w:ascii="Times New Roman" w:hAnsi="Times New Roman" w:cs="Times New Roman"/>
          <w:sz w:val="24"/>
          <w:szCs w:val="24"/>
          <w:lang w:val="es-AR"/>
        </w:rPr>
        <w:t>,</w:t>
      </w:r>
      <w:r w:rsidR="001454B8" w:rsidRPr="00A534BF">
        <w:rPr>
          <w:rFonts w:ascii="Times New Roman" w:hAnsi="Times New Roman" w:cs="Times New Roman"/>
          <w:sz w:val="24"/>
          <w:szCs w:val="24"/>
          <w:lang w:val="es-AR"/>
        </w:rPr>
        <w:t xml:space="preserve"> buscando promover pol</w:t>
      </w:r>
      <w:r w:rsidR="00F3714E" w:rsidRPr="00A534BF">
        <w:rPr>
          <w:rFonts w:ascii="Times New Roman" w:hAnsi="Times New Roman" w:cs="Times New Roman"/>
          <w:sz w:val="24"/>
          <w:szCs w:val="24"/>
          <w:lang w:val="es-AR"/>
        </w:rPr>
        <w:t>í</w:t>
      </w:r>
      <w:r w:rsidR="001454B8" w:rsidRPr="00A534BF">
        <w:rPr>
          <w:rFonts w:ascii="Times New Roman" w:hAnsi="Times New Roman" w:cs="Times New Roman"/>
          <w:sz w:val="24"/>
          <w:szCs w:val="24"/>
          <w:lang w:val="es-AR"/>
        </w:rPr>
        <w:t>ticas sociales distributivas y equitativas. Pero la crisis económica sistémica y global, que se origin</w:t>
      </w:r>
      <w:r w:rsidR="00F3714E" w:rsidRPr="00A534BF">
        <w:rPr>
          <w:rFonts w:ascii="Times New Roman" w:hAnsi="Times New Roman" w:cs="Times New Roman"/>
          <w:sz w:val="24"/>
          <w:szCs w:val="24"/>
          <w:lang w:val="es-AR"/>
        </w:rPr>
        <w:t>ó</w:t>
      </w:r>
      <w:r w:rsidR="001454B8" w:rsidRPr="00A534BF">
        <w:rPr>
          <w:rFonts w:ascii="Times New Roman" w:hAnsi="Times New Roman" w:cs="Times New Roman"/>
          <w:sz w:val="24"/>
          <w:szCs w:val="24"/>
          <w:lang w:val="es-AR"/>
        </w:rPr>
        <w:t xml:space="preserve"> en los circuitos centrales de la economía capitalista entre 2007-2008 puso en evidencia los problemas del modelo de desarrollo que profundizó desigualdades pre existentes, así como tuvo consencuencias sociales, económicas y sanitarias muy graves, particularmente para los </w:t>
      </w:r>
      <w:r w:rsidR="00F3714E" w:rsidRPr="00A534BF">
        <w:rPr>
          <w:rFonts w:ascii="Times New Roman" w:hAnsi="Times New Roman" w:cs="Times New Roman"/>
          <w:sz w:val="24"/>
          <w:szCs w:val="24"/>
          <w:lang w:val="es-AR"/>
        </w:rPr>
        <w:t xml:space="preserve">países pobres y los </w:t>
      </w:r>
      <w:r w:rsidR="001454B8" w:rsidRPr="00A534BF">
        <w:rPr>
          <w:rFonts w:ascii="Times New Roman" w:hAnsi="Times New Roman" w:cs="Times New Roman"/>
          <w:sz w:val="24"/>
          <w:szCs w:val="24"/>
          <w:lang w:val="es-AR"/>
        </w:rPr>
        <w:t>pobres de todos los países</w:t>
      </w:r>
      <w:r w:rsidR="001454B8" w:rsidRPr="00A534BF">
        <w:rPr>
          <w:rStyle w:val="Refdenotaalpie"/>
          <w:rFonts w:ascii="Times New Roman" w:hAnsi="Times New Roman" w:cs="Times New Roman"/>
          <w:sz w:val="24"/>
          <w:szCs w:val="24"/>
          <w:lang w:val="es-AR"/>
        </w:rPr>
        <w:footnoteReference w:id="28"/>
      </w:r>
      <w:r w:rsidR="001454B8" w:rsidRPr="00A534BF">
        <w:rPr>
          <w:rFonts w:ascii="Times New Roman" w:hAnsi="Times New Roman" w:cs="Times New Roman"/>
          <w:sz w:val="24"/>
          <w:szCs w:val="24"/>
          <w:lang w:val="es-AR"/>
        </w:rPr>
        <w:t>.</w:t>
      </w:r>
    </w:p>
    <w:p w14:paraId="13D6C4DE" w14:textId="1726C096" w:rsidR="00E62247" w:rsidRPr="00A534BF" w:rsidRDefault="001454B8"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 xml:space="preserve"> En la primera mitad del siglo XXI, la mayoría de los Estados parte del MERCOSUR propiciaron un mayor protagonismo del Estado y mayor presencia no solo en la economía, sino también en los aspectos sociales. A la luz de las proyecciones económicas, es evidente que habrá una desacelerac</w:t>
      </w:r>
      <w:r w:rsidR="00E62247" w:rsidRPr="00A534BF">
        <w:rPr>
          <w:rFonts w:ascii="Times New Roman" w:hAnsi="Times New Roman" w:cs="Times New Roman"/>
          <w:sz w:val="24"/>
          <w:szCs w:val="24"/>
          <w:lang w:val="es-AR"/>
        </w:rPr>
        <w:t>ión de la economía, con respecto a la década anterior, Como se menciona en la Agenda de Desarrollo Sostenible para las Américas 2030</w:t>
      </w:r>
      <w:r w:rsidR="00F3714E" w:rsidRPr="00A534BF">
        <w:rPr>
          <w:rFonts w:ascii="Times New Roman" w:hAnsi="Times New Roman" w:cs="Times New Roman"/>
          <w:sz w:val="24"/>
          <w:szCs w:val="24"/>
          <w:lang w:val="es-AR"/>
        </w:rPr>
        <w:t xml:space="preserve"> (ref.)</w:t>
      </w:r>
      <w:r w:rsidR="00E62247" w:rsidRPr="00A534BF">
        <w:rPr>
          <w:rFonts w:ascii="Times New Roman" w:hAnsi="Times New Roman" w:cs="Times New Roman"/>
          <w:sz w:val="24"/>
          <w:szCs w:val="24"/>
          <w:lang w:val="es-AR"/>
        </w:rPr>
        <w:t xml:space="preserve">, muchos de los países de América del Sur, luego de dos años de </w:t>
      </w:r>
      <w:r w:rsidR="00E62247" w:rsidRPr="00A534BF">
        <w:rPr>
          <w:rFonts w:ascii="Times New Roman" w:hAnsi="Times New Roman" w:cs="Times New Roman"/>
          <w:sz w:val="24"/>
          <w:szCs w:val="24"/>
          <w:lang w:val="es-AR"/>
        </w:rPr>
        <w:lastRenderedPageBreak/>
        <w:t>caída en el PIB (una disminución de 1,9% en el 2015 y de 2,6% en el 2016) se pronostica una recuperación lenta del 0,6% en el 2017 y el 2,6% en el 2018.</w:t>
      </w:r>
    </w:p>
    <w:p w14:paraId="4B2610D3" w14:textId="77777777" w:rsidR="00E62247" w:rsidRPr="00A534BF" w:rsidRDefault="00E62247"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Algunos países mostraron un mejor desempeño debido a mayores inversiones, en otros sigue pesando el aumento del desempleo, el crecimiento bajo en la productividad, la escasa diversificación económica y la capacidad institucional débil.</w:t>
      </w:r>
    </w:p>
    <w:p w14:paraId="17F6E333" w14:textId="77777777" w:rsidR="00E36992" w:rsidRPr="00A534BF" w:rsidRDefault="00E36992"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Algunos países mostraron un mejor desempeño debido a mayores inversiones, en otros sigue pesando el aumento del desempleo, el crecimiento bajo en la productividad, la escasa diversificación económica y la capacidad institucional débil.</w:t>
      </w:r>
    </w:p>
    <w:p w14:paraId="7576DC7D" w14:textId="7B74DB35" w:rsidR="00E36992" w:rsidRPr="00A534BF" w:rsidRDefault="00E36992"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En es</w:t>
      </w:r>
      <w:r w:rsidR="00FA63C6" w:rsidRPr="00A534BF">
        <w:rPr>
          <w:rFonts w:ascii="Times New Roman" w:hAnsi="Times New Roman" w:cs="Times New Roman"/>
          <w:sz w:val="24"/>
          <w:szCs w:val="24"/>
          <w:lang w:val="es-AR"/>
        </w:rPr>
        <w:t>te marco, no resulta claro y uní</w:t>
      </w:r>
      <w:r w:rsidRPr="00A534BF">
        <w:rPr>
          <w:rFonts w:ascii="Times New Roman" w:hAnsi="Times New Roman" w:cs="Times New Roman"/>
          <w:sz w:val="24"/>
          <w:szCs w:val="24"/>
          <w:lang w:val="es-AR"/>
        </w:rPr>
        <w:t>voco el rumbo que asumirán las políticas sociales y sanitarias. Cabe destacar que Brasil</w:t>
      </w:r>
      <w:r w:rsidR="00F3714E"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como la gran economía del MERCOSUR</w:t>
      </w:r>
      <w:r w:rsidR="00F3714E"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viene impulsando una política de reforma laboral y de la previsión social, con congelamiento del gasto público</w:t>
      </w:r>
      <w:r w:rsidR="00F3714E" w:rsidRPr="00A534BF">
        <w:rPr>
          <w:rFonts w:ascii="Times New Roman" w:hAnsi="Times New Roman" w:cs="Times New Roman"/>
          <w:sz w:val="24"/>
          <w:szCs w:val="24"/>
          <w:lang w:val="es-AR"/>
        </w:rPr>
        <w:t xml:space="preserve"> en los próximos 20 años</w:t>
      </w:r>
      <w:r w:rsidRPr="00A534BF">
        <w:rPr>
          <w:rFonts w:ascii="Times New Roman" w:hAnsi="Times New Roman" w:cs="Times New Roman"/>
          <w:sz w:val="24"/>
          <w:szCs w:val="24"/>
          <w:lang w:val="es-AR"/>
        </w:rPr>
        <w:t>. Asimismo, Argentina viene experimentando una crisis económica y</w:t>
      </w:r>
      <w:r w:rsidR="00F3714E"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a la luz de las negociaciones con el Fondo Monetario Internacional</w:t>
      </w:r>
      <w:r w:rsidR="00F3714E"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impulsa una importante política de ajuste del sector público. La situación política y económica se ve reflejada en el contexto social, en los sistemas de protección social y en el estado de salud de la población. Según la CEPAL (2017) el efecto negativo del ciclo y ls nuevas bajas de precios internacionales de los recursos naturales no renovables incidieron en un empeoramiento del déficit fiscal, que se increment</w:t>
      </w:r>
      <w:r w:rsidR="00FA63C6" w:rsidRPr="00A534BF">
        <w:rPr>
          <w:rFonts w:ascii="Times New Roman" w:hAnsi="Times New Roman" w:cs="Times New Roman"/>
          <w:sz w:val="24"/>
          <w:szCs w:val="24"/>
          <w:lang w:val="es-AR"/>
        </w:rPr>
        <w:t xml:space="preserve">ó del 3,6% en 2015 al 4,0 </w:t>
      </w:r>
      <w:r w:rsidR="00F3714E" w:rsidRPr="00A534BF">
        <w:rPr>
          <w:rFonts w:ascii="Times New Roman" w:hAnsi="Times New Roman" w:cs="Times New Roman"/>
          <w:sz w:val="24"/>
          <w:szCs w:val="24"/>
          <w:lang w:val="es-AR"/>
        </w:rPr>
        <w:t xml:space="preserve"> del PIB</w:t>
      </w:r>
      <w:r w:rsidR="00FA63C6" w:rsidRPr="00A534BF">
        <w:rPr>
          <w:rFonts w:ascii="Times New Roman" w:hAnsi="Times New Roman" w:cs="Times New Roman"/>
          <w:sz w:val="24"/>
          <w:szCs w:val="24"/>
          <w:lang w:val="es-AR"/>
        </w:rPr>
        <w:t xml:space="preserve"> en</w:t>
      </w:r>
      <w:r w:rsidRPr="00A534BF">
        <w:rPr>
          <w:rFonts w:ascii="Times New Roman" w:hAnsi="Times New Roman" w:cs="Times New Roman"/>
          <w:sz w:val="24"/>
          <w:szCs w:val="24"/>
          <w:lang w:val="es-AR"/>
        </w:rPr>
        <w:t xml:space="preserve"> 2016. La deuda pública en los países del MERCOSUR, como parte de Sudamérica</w:t>
      </w:r>
      <w:r w:rsidR="00F3714E"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aumento 2,5</w:t>
      </w:r>
      <w:r w:rsidR="00F3714E"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del PIB en promedio, au</w:t>
      </w:r>
      <w:r w:rsidR="00FA63C6" w:rsidRPr="00A534BF">
        <w:rPr>
          <w:rFonts w:ascii="Times New Roman" w:hAnsi="Times New Roman" w:cs="Times New Roman"/>
          <w:sz w:val="24"/>
          <w:szCs w:val="24"/>
          <w:lang w:val="es-AR"/>
        </w:rPr>
        <w:t>nqu</w:t>
      </w:r>
      <w:r w:rsidRPr="00A534BF">
        <w:rPr>
          <w:rFonts w:ascii="Times New Roman" w:hAnsi="Times New Roman" w:cs="Times New Roman"/>
          <w:sz w:val="24"/>
          <w:szCs w:val="24"/>
          <w:lang w:val="es-AR"/>
        </w:rPr>
        <w:t>e esto refleja el resultado primario (-1,6</w:t>
      </w:r>
      <w:r w:rsidR="00F3714E"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del PIB en promedio</w:t>
      </w:r>
      <w:r w:rsidR="00F3714E"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en 2016) y la evolución de los tipos de cambio y las tasas de interés</w:t>
      </w:r>
      <w:r w:rsidRPr="00A534BF">
        <w:rPr>
          <w:rStyle w:val="Refdenotaalpie"/>
          <w:rFonts w:ascii="Times New Roman" w:hAnsi="Times New Roman" w:cs="Times New Roman"/>
          <w:sz w:val="24"/>
          <w:szCs w:val="24"/>
          <w:lang w:val="es-AR"/>
        </w:rPr>
        <w:footnoteReference w:id="29"/>
      </w:r>
      <w:r w:rsidR="00FA63C6" w:rsidRPr="00A534BF">
        <w:rPr>
          <w:rFonts w:ascii="Times New Roman" w:hAnsi="Times New Roman" w:cs="Times New Roman"/>
          <w:sz w:val="24"/>
          <w:szCs w:val="24"/>
          <w:lang w:val="es-AR"/>
        </w:rPr>
        <w:t>.</w:t>
      </w:r>
    </w:p>
    <w:p w14:paraId="59604C85" w14:textId="278C8A31" w:rsidR="004D69EC" w:rsidRPr="00A534BF" w:rsidRDefault="00647672"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 xml:space="preserve">En relación al </w:t>
      </w:r>
      <w:r w:rsidRPr="00A534BF">
        <w:rPr>
          <w:rFonts w:ascii="Times New Roman" w:hAnsi="Times New Roman" w:cs="Times New Roman"/>
          <w:i/>
          <w:sz w:val="24"/>
          <w:szCs w:val="24"/>
          <w:lang w:val="es-AR"/>
        </w:rPr>
        <w:t>obstáculo 5</w:t>
      </w:r>
      <w:r w:rsidRPr="00A534BF">
        <w:rPr>
          <w:rFonts w:ascii="Times New Roman" w:hAnsi="Times New Roman" w:cs="Times New Roman"/>
          <w:sz w:val="24"/>
          <w:szCs w:val="24"/>
          <w:lang w:val="es-AR"/>
        </w:rPr>
        <w:t xml:space="preserve"> (</w:t>
      </w:r>
      <w:r w:rsidRPr="00A534BF">
        <w:rPr>
          <w:rFonts w:ascii="Times New Roman" w:hAnsi="Times New Roman" w:cs="Times New Roman"/>
          <w:i/>
          <w:sz w:val="24"/>
          <w:szCs w:val="24"/>
          <w:lang w:val="es-AR"/>
        </w:rPr>
        <w:t>Capacidad técnica y operacional insuficiente)</w:t>
      </w:r>
      <w:r w:rsidRPr="00A534BF">
        <w:rPr>
          <w:rFonts w:ascii="Times New Roman" w:hAnsi="Times New Roman" w:cs="Times New Roman"/>
          <w:sz w:val="24"/>
          <w:szCs w:val="24"/>
          <w:lang w:val="es-AR"/>
        </w:rPr>
        <w:t xml:space="preserve">, los países del MERCOSUR cuentan con importantes capacidades e inteligencia de sus cuadros técnicos y sanitarios. </w:t>
      </w:r>
      <w:r w:rsidR="00EF786A" w:rsidRPr="00A534BF">
        <w:rPr>
          <w:rFonts w:ascii="Times New Roman" w:hAnsi="Times New Roman" w:cs="Times New Roman"/>
          <w:sz w:val="24"/>
          <w:szCs w:val="24"/>
          <w:lang w:val="es-AR"/>
        </w:rPr>
        <w:t xml:space="preserve"> El intercambio de las experiencias nacionales en relación a la vigilancia y control de las enfermedades no trasmisibles configura una oportunidad y genera un circulo virtuoso para la formulacion de una política y una estrategia MERCOSUR. </w:t>
      </w:r>
    </w:p>
    <w:p w14:paraId="697F2680" w14:textId="28024B11" w:rsidR="00647672" w:rsidRPr="00A534BF" w:rsidRDefault="004D69EC"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No obstante, algunos temas de vital importancia dentro de las ECNT, que no han tenido abordaje desde el MERCOSUR, existe capacidad técnica en los países y han sido priorizados por la Agenda 2030 y el ODS Salud. Por un lado</w:t>
      </w:r>
      <w:r w:rsidR="00F3714E"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las enfermedades mentales, donde existen experiencias importantes en Argentina y Brasil</w:t>
      </w:r>
      <w:r w:rsidR="00F3714E"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propiciando estrategias de desintitucionalización o desmanicomialización e incluso sobre las que vienen brindando cooperación bilaterala los países vecinos.</w:t>
      </w:r>
    </w:p>
    <w:p w14:paraId="5FC0AB51" w14:textId="3628DAA2" w:rsidR="004D69EC" w:rsidRPr="00A534BF" w:rsidRDefault="004D69EC"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 xml:space="preserve">Otro tema importante es el de lesiones por causas externas, que ha tomado una dimensión importante como podemos observar en el Cuadro 3, ya que en todos los Estados Partes del MERCOSUR se encuentra entre las primeras causas de muerte. </w:t>
      </w:r>
    </w:p>
    <w:p w14:paraId="2E8EC503" w14:textId="33CADCF8" w:rsidR="004D69EC" w:rsidRPr="00A534BF" w:rsidRDefault="004D69EC"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lastRenderedPageBreak/>
        <w:t>El trabajo a nivel del MERCOSUR sobre estos dos  subconjuntos de enfermedades dentro de las ECNT podria presentar un impacto sig</w:t>
      </w:r>
      <w:r w:rsidR="0016585C" w:rsidRPr="00A534BF">
        <w:rPr>
          <w:rFonts w:ascii="Times New Roman" w:hAnsi="Times New Roman" w:cs="Times New Roman"/>
          <w:sz w:val="24"/>
          <w:szCs w:val="24"/>
          <w:lang w:val="es-AR"/>
        </w:rPr>
        <w:t>nificativo en el perfil de morbi mortalidad de la región.</w:t>
      </w:r>
    </w:p>
    <w:p w14:paraId="42C5A800" w14:textId="4CDB858A" w:rsidR="0016585C" w:rsidRPr="00A534BF" w:rsidRDefault="0016585C"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Asimismo, en relación a la capacidad técnica y operacional, las instituciones académicas</w:t>
      </w:r>
      <w:r w:rsidR="00F3714E" w:rsidRPr="00A534BF">
        <w:rPr>
          <w:rFonts w:ascii="Times New Roman" w:hAnsi="Times New Roman" w:cs="Times New Roman"/>
          <w:sz w:val="24"/>
          <w:szCs w:val="24"/>
          <w:lang w:val="es-AR"/>
        </w:rPr>
        <w:t xml:space="preserve"> -</w:t>
      </w:r>
      <w:r w:rsidRPr="00A534BF">
        <w:rPr>
          <w:rFonts w:ascii="Times New Roman" w:hAnsi="Times New Roman" w:cs="Times New Roman"/>
          <w:sz w:val="24"/>
          <w:szCs w:val="24"/>
          <w:lang w:val="es-AR"/>
        </w:rPr>
        <w:t xml:space="preserve"> tales como las Escuelas Nacionales de Salud Pública</w:t>
      </w:r>
      <w:r w:rsidR="00F3714E" w:rsidRPr="00A534BF">
        <w:rPr>
          <w:rFonts w:ascii="Times New Roman" w:hAnsi="Times New Roman" w:cs="Times New Roman"/>
          <w:sz w:val="24"/>
          <w:szCs w:val="24"/>
          <w:lang w:val="es-AR"/>
        </w:rPr>
        <w:t xml:space="preserve"> y</w:t>
      </w:r>
      <w:r w:rsidRPr="00A534BF">
        <w:rPr>
          <w:rFonts w:ascii="Times New Roman" w:hAnsi="Times New Roman" w:cs="Times New Roman"/>
          <w:sz w:val="24"/>
          <w:szCs w:val="24"/>
          <w:lang w:val="es-AR"/>
        </w:rPr>
        <w:t xml:space="preserve"> los Institutos Nacionales de Salud </w:t>
      </w:r>
      <w:r w:rsidR="00F3714E" w:rsidRPr="00A534BF">
        <w:rPr>
          <w:rFonts w:ascii="Times New Roman" w:hAnsi="Times New Roman" w:cs="Times New Roman"/>
          <w:sz w:val="24"/>
          <w:szCs w:val="24"/>
          <w:lang w:val="es-AR"/>
        </w:rPr>
        <w:t xml:space="preserve">- </w:t>
      </w:r>
      <w:r w:rsidRPr="00A534BF">
        <w:rPr>
          <w:rFonts w:ascii="Times New Roman" w:hAnsi="Times New Roman" w:cs="Times New Roman"/>
          <w:sz w:val="24"/>
          <w:szCs w:val="24"/>
          <w:lang w:val="es-AR"/>
        </w:rPr>
        <w:t>podrían constituir importantes oportunidades</w:t>
      </w:r>
      <w:r w:rsidR="00F3714E"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brindando inteligencia técnica y operacional para trabajar </w:t>
      </w:r>
      <w:r w:rsidR="0045096F" w:rsidRPr="00A534BF">
        <w:rPr>
          <w:rFonts w:ascii="Times New Roman" w:hAnsi="Times New Roman" w:cs="Times New Roman"/>
          <w:sz w:val="24"/>
          <w:szCs w:val="24"/>
          <w:lang w:val="es-AR"/>
        </w:rPr>
        <w:t xml:space="preserve">sobre </w:t>
      </w:r>
      <w:r w:rsidRPr="00A534BF">
        <w:rPr>
          <w:rFonts w:ascii="Times New Roman" w:hAnsi="Times New Roman" w:cs="Times New Roman"/>
          <w:sz w:val="24"/>
          <w:szCs w:val="24"/>
          <w:lang w:val="es-AR"/>
        </w:rPr>
        <w:t>las ECNT.</w:t>
      </w:r>
    </w:p>
    <w:p w14:paraId="169803C6" w14:textId="63870714" w:rsidR="0016585C" w:rsidRPr="00A534BF" w:rsidRDefault="0016585C"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 xml:space="preserve">En relación al </w:t>
      </w:r>
      <w:r w:rsidRPr="00A534BF">
        <w:rPr>
          <w:rFonts w:ascii="Times New Roman" w:hAnsi="Times New Roman" w:cs="Times New Roman"/>
          <w:i/>
          <w:sz w:val="24"/>
          <w:szCs w:val="24"/>
          <w:lang w:val="es-AR"/>
        </w:rPr>
        <w:t>obstáculo 6</w:t>
      </w:r>
      <w:r w:rsidRPr="00A534BF">
        <w:rPr>
          <w:rFonts w:ascii="Times New Roman" w:hAnsi="Times New Roman" w:cs="Times New Roman"/>
          <w:sz w:val="24"/>
          <w:szCs w:val="24"/>
          <w:lang w:val="es-AR"/>
        </w:rPr>
        <w:t xml:space="preserve"> hemos analizado anteriormente los problemas de la región en cuanto a la tendencia al crecimiento económico. El panorama económico descripto, plantea importantes desafíos en lo relativo  a la financiación e implementación de la Agenda 2030 y en particular del ODS 3 y las ECNT</w:t>
      </w:r>
      <w:r w:rsidRPr="00A534BF">
        <w:rPr>
          <w:rStyle w:val="Refdenotaalpie"/>
          <w:rFonts w:ascii="Times New Roman" w:hAnsi="Times New Roman" w:cs="Times New Roman"/>
          <w:sz w:val="24"/>
          <w:szCs w:val="24"/>
          <w:lang w:val="es-AR"/>
        </w:rPr>
        <w:footnoteReference w:id="30"/>
      </w:r>
      <w:r w:rsidRPr="00A534BF">
        <w:rPr>
          <w:rFonts w:ascii="Times New Roman" w:hAnsi="Times New Roman" w:cs="Times New Roman"/>
          <w:sz w:val="24"/>
          <w:szCs w:val="24"/>
          <w:lang w:val="es-AR"/>
        </w:rPr>
        <w:t xml:space="preserve">. EL MERCOSUR en tanto una región en la cual se ha avanzado a países de ingresos medios, deja de ser prioritaria para muchos de los mecanismos de cooperación financiera y técnica de las Agencias. Entendiendo a la salud como una precondición para el desarrollo de los países del MERCOSUR, postulamos que </w:t>
      </w:r>
      <w:r w:rsidR="0045096F" w:rsidRPr="00A534BF">
        <w:rPr>
          <w:rFonts w:ascii="Times New Roman" w:hAnsi="Times New Roman" w:cs="Times New Roman"/>
          <w:sz w:val="24"/>
          <w:szCs w:val="24"/>
          <w:lang w:val="es-AR"/>
        </w:rPr>
        <w:t xml:space="preserve">se presente al </w:t>
      </w:r>
      <w:r w:rsidRPr="00A534BF">
        <w:rPr>
          <w:rFonts w:ascii="Times New Roman" w:hAnsi="Times New Roman" w:cs="Times New Roman"/>
          <w:sz w:val="24"/>
          <w:szCs w:val="24"/>
          <w:lang w:val="es-AR"/>
        </w:rPr>
        <w:t xml:space="preserve"> Fondo para la Convergencia Estructural del MERCOSUR</w:t>
      </w:r>
      <w:r w:rsidR="0045096F" w:rsidRPr="00A534BF">
        <w:rPr>
          <w:rFonts w:ascii="Times New Roman" w:hAnsi="Times New Roman" w:cs="Times New Roman"/>
          <w:sz w:val="24"/>
          <w:szCs w:val="24"/>
          <w:lang w:val="es-AR"/>
        </w:rPr>
        <w:t xml:space="preserve"> –</w:t>
      </w:r>
      <w:r w:rsidRPr="00A534BF">
        <w:rPr>
          <w:rFonts w:ascii="Times New Roman" w:hAnsi="Times New Roman" w:cs="Times New Roman"/>
          <w:sz w:val="24"/>
          <w:szCs w:val="24"/>
          <w:lang w:val="es-AR"/>
        </w:rPr>
        <w:t xml:space="preserve"> Focem</w:t>
      </w:r>
      <w:r w:rsidR="0045096F"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creado para financiar programas q</w:t>
      </w:r>
      <w:r w:rsidR="0045096F" w:rsidRPr="00A534BF">
        <w:rPr>
          <w:rFonts w:ascii="Times New Roman" w:hAnsi="Times New Roman" w:cs="Times New Roman"/>
          <w:sz w:val="24"/>
          <w:szCs w:val="24"/>
          <w:lang w:val="es-AR"/>
        </w:rPr>
        <w:t>u</w:t>
      </w:r>
      <w:r w:rsidRPr="00A534BF">
        <w:rPr>
          <w:rFonts w:ascii="Times New Roman" w:hAnsi="Times New Roman" w:cs="Times New Roman"/>
          <w:sz w:val="24"/>
          <w:szCs w:val="24"/>
          <w:lang w:val="es-AR"/>
        </w:rPr>
        <w:t>e promuevan la convergencia estructural, la competivividad y la cohesión social, fortaleciendo el procesos de integración</w:t>
      </w:r>
      <w:r w:rsidR="0045096F" w:rsidRPr="00A534BF">
        <w:rPr>
          <w:rFonts w:ascii="Times New Roman" w:hAnsi="Times New Roman" w:cs="Times New Roman"/>
          <w:sz w:val="24"/>
          <w:szCs w:val="24"/>
          <w:lang w:val="es-AR"/>
        </w:rPr>
        <w:t>, -</w:t>
      </w:r>
      <w:r w:rsidRPr="00A534BF">
        <w:rPr>
          <w:rFonts w:ascii="Times New Roman" w:hAnsi="Times New Roman" w:cs="Times New Roman"/>
          <w:sz w:val="24"/>
          <w:szCs w:val="24"/>
          <w:lang w:val="es-AR"/>
        </w:rPr>
        <w:t xml:space="preserve"> un proyecto para </w:t>
      </w:r>
      <w:r w:rsidR="0045096F" w:rsidRPr="00A534BF">
        <w:rPr>
          <w:rFonts w:ascii="Times New Roman" w:hAnsi="Times New Roman" w:cs="Times New Roman"/>
          <w:sz w:val="24"/>
          <w:szCs w:val="24"/>
          <w:lang w:val="es-AR"/>
        </w:rPr>
        <w:t xml:space="preserve">el </w:t>
      </w:r>
      <w:r w:rsidRPr="00A534BF">
        <w:rPr>
          <w:rFonts w:ascii="Times New Roman" w:hAnsi="Times New Roman" w:cs="Times New Roman"/>
          <w:sz w:val="24"/>
          <w:szCs w:val="24"/>
          <w:lang w:val="es-AR"/>
        </w:rPr>
        <w:t>financia</w:t>
      </w:r>
      <w:r w:rsidR="0045096F" w:rsidRPr="00A534BF">
        <w:rPr>
          <w:rFonts w:ascii="Times New Roman" w:hAnsi="Times New Roman" w:cs="Times New Roman"/>
          <w:sz w:val="24"/>
          <w:szCs w:val="24"/>
          <w:lang w:val="es-AR"/>
        </w:rPr>
        <w:t xml:space="preserve">miento </w:t>
      </w:r>
      <w:r w:rsidRPr="00A534BF">
        <w:rPr>
          <w:rFonts w:ascii="Times New Roman" w:hAnsi="Times New Roman" w:cs="Times New Roman"/>
          <w:sz w:val="24"/>
          <w:szCs w:val="24"/>
          <w:lang w:val="es-AR"/>
        </w:rPr>
        <w:t xml:space="preserve"> </w:t>
      </w:r>
      <w:r w:rsidR="0045096F" w:rsidRPr="00A534BF">
        <w:rPr>
          <w:rFonts w:ascii="Times New Roman" w:hAnsi="Times New Roman" w:cs="Times New Roman"/>
          <w:sz w:val="24"/>
          <w:szCs w:val="24"/>
          <w:lang w:val="es-AR"/>
        </w:rPr>
        <w:t xml:space="preserve">de </w:t>
      </w:r>
      <w:r w:rsidRPr="00A534BF">
        <w:rPr>
          <w:rFonts w:ascii="Times New Roman" w:hAnsi="Times New Roman" w:cs="Times New Roman"/>
          <w:sz w:val="24"/>
          <w:szCs w:val="24"/>
          <w:lang w:val="es-AR"/>
        </w:rPr>
        <w:t>la Agenda 2030 en el MERCOSUR</w:t>
      </w:r>
      <w:r w:rsidR="0045096F" w:rsidRPr="00A534BF">
        <w:rPr>
          <w:rFonts w:ascii="Times New Roman" w:hAnsi="Times New Roman" w:cs="Times New Roman"/>
          <w:sz w:val="24"/>
          <w:szCs w:val="24"/>
          <w:lang w:val="es-AR"/>
        </w:rPr>
        <w:t xml:space="preserve">; entendido como </w:t>
      </w:r>
      <w:r w:rsidRPr="00A534BF">
        <w:rPr>
          <w:rFonts w:ascii="Times New Roman" w:hAnsi="Times New Roman" w:cs="Times New Roman"/>
          <w:sz w:val="24"/>
          <w:szCs w:val="24"/>
          <w:lang w:val="es-AR"/>
        </w:rPr>
        <w:t xml:space="preserve"> prioridad</w:t>
      </w:r>
      <w:r w:rsidR="0045096F"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podría constituir una oportunidad de inestimable valor para trabajar sobre los ODS en los países del bloque. </w:t>
      </w:r>
    </w:p>
    <w:p w14:paraId="48865875" w14:textId="7AE87D50" w:rsidR="0016585C" w:rsidRPr="00A534BF" w:rsidRDefault="0016585C"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Finalmente, en relación a la rendición de cuentas, los países del MERCOSUR han incorporado una modalidad de rendición de cuentas permanentes en los organismos multilaterales. Tanto en la OPS/OMS como en otros organismos especializados, los países ha realizado permanentemente la rendición de cuentas</w:t>
      </w:r>
      <w:r w:rsidR="0045096F" w:rsidRPr="00A534BF">
        <w:rPr>
          <w:rFonts w:ascii="Times New Roman" w:hAnsi="Times New Roman" w:cs="Times New Roman"/>
          <w:sz w:val="24"/>
          <w:szCs w:val="24"/>
          <w:lang w:val="es-AR"/>
        </w:rPr>
        <w:t>,</w:t>
      </w:r>
      <w:r w:rsidRPr="00A534BF">
        <w:rPr>
          <w:rFonts w:ascii="Times New Roman" w:hAnsi="Times New Roman" w:cs="Times New Roman"/>
          <w:sz w:val="24"/>
          <w:szCs w:val="24"/>
          <w:lang w:val="es-AR"/>
        </w:rPr>
        <w:t xml:space="preserve"> presentando los avances en relación al cumplimiento de la Agenda. </w:t>
      </w:r>
    </w:p>
    <w:p w14:paraId="4096FDF8" w14:textId="44E7BCF4" w:rsidR="0016585C" w:rsidRPr="00A534BF" w:rsidRDefault="0016585C"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 xml:space="preserve">El involucramiento de la sociedad civil con la Agenda 2030, se ha planteado como virtuoso para la rendición de cuentas. En tal sentido, </w:t>
      </w:r>
      <w:r w:rsidR="006B5594" w:rsidRPr="00A534BF">
        <w:rPr>
          <w:rFonts w:ascii="Times New Roman" w:hAnsi="Times New Roman" w:cs="Times New Roman"/>
          <w:sz w:val="24"/>
          <w:szCs w:val="24"/>
          <w:lang w:val="es-AR"/>
        </w:rPr>
        <w:t xml:space="preserve">en el </w:t>
      </w:r>
      <w:r w:rsidR="006B5594" w:rsidRPr="00A534BF">
        <w:rPr>
          <w:rFonts w:ascii="Times New Roman" w:hAnsi="Times New Roman" w:cs="Times New Roman"/>
          <w:sz w:val="24"/>
          <w:szCs w:val="24"/>
          <w:lang w:val="es-ES"/>
        </w:rPr>
        <w:t>Foro Político de Alto Nivel Sobre el Desarrollo Sostenible de las Naciones Unidas, realizado en la sede de Naciones Unidas en 2017, en Nueva York</w:t>
      </w:r>
      <w:r w:rsidR="00F30204" w:rsidRPr="00A534BF">
        <w:rPr>
          <w:rStyle w:val="Refdenotaalpie"/>
          <w:rFonts w:ascii="Times New Roman" w:hAnsi="Times New Roman" w:cs="Times New Roman"/>
          <w:sz w:val="24"/>
          <w:szCs w:val="24"/>
          <w:lang w:val="es-ES"/>
        </w:rPr>
        <w:footnoteReference w:id="31"/>
      </w:r>
      <w:r w:rsidR="00F30204" w:rsidRPr="00A534BF">
        <w:rPr>
          <w:rFonts w:ascii="Times New Roman" w:hAnsi="Times New Roman" w:cs="Times New Roman"/>
          <w:sz w:val="24"/>
          <w:szCs w:val="24"/>
          <w:lang w:val="es-ES"/>
        </w:rPr>
        <w:t xml:space="preserve"> </w:t>
      </w:r>
      <w:r w:rsidR="0045096F" w:rsidRPr="00A534BF">
        <w:rPr>
          <w:rFonts w:ascii="Times New Roman" w:hAnsi="Times New Roman" w:cs="Times New Roman"/>
          <w:sz w:val="24"/>
          <w:szCs w:val="24"/>
          <w:lang w:val="es-ES"/>
        </w:rPr>
        <w:t>l</w:t>
      </w:r>
      <w:r w:rsidR="006B5594" w:rsidRPr="00A534BF">
        <w:rPr>
          <w:rFonts w:ascii="Times New Roman" w:hAnsi="Times New Roman" w:cs="Times New Roman"/>
          <w:sz w:val="24"/>
          <w:szCs w:val="24"/>
          <w:lang w:val="es-ES"/>
        </w:rPr>
        <w:t>os Informes de Brasil</w:t>
      </w:r>
      <w:r w:rsidR="006B5594" w:rsidRPr="00A534BF">
        <w:rPr>
          <w:rStyle w:val="Refdenotaalpie"/>
          <w:rFonts w:ascii="Times New Roman" w:hAnsi="Times New Roman" w:cs="Times New Roman"/>
          <w:sz w:val="24"/>
          <w:szCs w:val="24"/>
          <w:lang w:val="es-ES"/>
        </w:rPr>
        <w:footnoteReference w:id="32"/>
      </w:r>
      <w:r w:rsidR="0045096F" w:rsidRPr="00A534BF">
        <w:rPr>
          <w:rFonts w:ascii="Times New Roman" w:hAnsi="Times New Roman" w:cs="Times New Roman"/>
          <w:sz w:val="24"/>
          <w:szCs w:val="24"/>
          <w:lang w:val="es-ES"/>
        </w:rPr>
        <w:t xml:space="preserve"> </w:t>
      </w:r>
      <w:r w:rsidR="006B5594" w:rsidRPr="00A534BF">
        <w:rPr>
          <w:rFonts w:ascii="Times New Roman" w:hAnsi="Times New Roman" w:cs="Times New Roman"/>
          <w:sz w:val="24"/>
          <w:szCs w:val="24"/>
          <w:lang w:val="es-ES"/>
        </w:rPr>
        <w:t>y Chile</w:t>
      </w:r>
      <w:r w:rsidR="006B5594" w:rsidRPr="00A534BF">
        <w:rPr>
          <w:rStyle w:val="Refdenotaalpie"/>
          <w:rFonts w:ascii="Times New Roman" w:hAnsi="Times New Roman" w:cs="Times New Roman"/>
          <w:sz w:val="24"/>
          <w:szCs w:val="24"/>
          <w:lang w:val="es-ES"/>
        </w:rPr>
        <w:footnoteReference w:id="33"/>
      </w:r>
      <w:r w:rsidR="006B5594" w:rsidRPr="00A534BF">
        <w:rPr>
          <w:rFonts w:ascii="Times New Roman" w:hAnsi="Times New Roman" w:cs="Times New Roman"/>
          <w:sz w:val="24"/>
          <w:szCs w:val="24"/>
          <w:lang w:val="es-ES"/>
        </w:rPr>
        <w:t xml:space="preserve"> caracterizaron sus realidades a partir de datos sociales, económicos y ambientales desde la perspectiva de la sociedad civil</w:t>
      </w:r>
      <w:r w:rsidR="0045096F" w:rsidRPr="00A534BF">
        <w:rPr>
          <w:rFonts w:ascii="Times New Roman" w:hAnsi="Times New Roman" w:cs="Times New Roman"/>
          <w:sz w:val="24"/>
          <w:szCs w:val="24"/>
          <w:lang w:val="es-ES"/>
        </w:rPr>
        <w:t>,</w:t>
      </w:r>
      <w:r w:rsidR="006B5594" w:rsidRPr="00A534BF">
        <w:rPr>
          <w:rFonts w:ascii="Times New Roman" w:hAnsi="Times New Roman" w:cs="Times New Roman"/>
          <w:sz w:val="24"/>
          <w:szCs w:val="24"/>
          <w:lang w:val="es-ES"/>
        </w:rPr>
        <w:t xml:space="preserve"> en contrapunto a los informes oficiales gubernamentales.</w:t>
      </w:r>
    </w:p>
    <w:p w14:paraId="5668827B" w14:textId="3CEA505D" w:rsidR="00E36992" w:rsidRPr="00A534BF" w:rsidRDefault="006B5594" w:rsidP="00F30204">
      <w:pPr>
        <w:jc w:val="both"/>
        <w:rPr>
          <w:rFonts w:ascii="Times New Roman" w:hAnsi="Times New Roman" w:cs="Times New Roman"/>
          <w:b/>
          <w:sz w:val="24"/>
          <w:szCs w:val="24"/>
          <w:lang w:val="es-AR"/>
        </w:rPr>
      </w:pPr>
      <w:r w:rsidRPr="00A534BF">
        <w:rPr>
          <w:rFonts w:ascii="Times New Roman" w:hAnsi="Times New Roman" w:cs="Times New Roman"/>
          <w:b/>
          <w:sz w:val="24"/>
          <w:szCs w:val="24"/>
          <w:lang w:val="es-AR"/>
        </w:rPr>
        <w:t>Conclusión</w:t>
      </w:r>
    </w:p>
    <w:p w14:paraId="714D0740" w14:textId="33352574" w:rsidR="00BA0BA6" w:rsidRPr="00A534BF" w:rsidRDefault="00196F98" w:rsidP="003B74A4">
      <w:pPr>
        <w:rPr>
          <w:rFonts w:ascii="Times New Roman" w:hAnsi="Times New Roman" w:cs="Times New Roman"/>
          <w:sz w:val="24"/>
          <w:szCs w:val="24"/>
          <w:lang w:val="uz-Cyrl-UZ"/>
        </w:rPr>
      </w:pPr>
      <w:r w:rsidRPr="00A534BF">
        <w:rPr>
          <w:rFonts w:ascii="Times New Roman" w:hAnsi="Times New Roman" w:cs="Times New Roman"/>
          <w:sz w:val="24"/>
          <w:szCs w:val="24"/>
          <w:lang w:val="uz-Cyrl-UZ"/>
        </w:rPr>
        <w:t xml:space="preserve">A lo largo del presente artículo hemos dado relevancia a las ECNT como un problema de salud que trasciende las fronteras nacionales y que podría ser mejor abordado por </w:t>
      </w:r>
      <w:r w:rsidRPr="00A534BF">
        <w:rPr>
          <w:rFonts w:ascii="Times New Roman" w:hAnsi="Times New Roman" w:cs="Times New Roman"/>
          <w:sz w:val="24"/>
          <w:szCs w:val="24"/>
          <w:lang w:val="uz-Cyrl-UZ"/>
        </w:rPr>
        <w:lastRenderedPageBreak/>
        <w:t>medio de la cooperación y mancomun</w:t>
      </w:r>
      <w:r w:rsidR="00F30204" w:rsidRPr="00A534BF">
        <w:rPr>
          <w:rFonts w:ascii="Times New Roman" w:hAnsi="Times New Roman" w:cs="Times New Roman"/>
          <w:sz w:val="24"/>
          <w:szCs w:val="24"/>
          <w:lang w:val="uz-Cyrl-UZ"/>
        </w:rPr>
        <w:t>ando esfuerzos entre los Estados miembros desde los foros institucionales del MERCOSUR.</w:t>
      </w:r>
    </w:p>
    <w:p w14:paraId="1A1E86DB" w14:textId="78F816BF" w:rsidR="00196F98" w:rsidRPr="00A534BF" w:rsidRDefault="00196F98" w:rsidP="003B74A4">
      <w:pPr>
        <w:rPr>
          <w:rFonts w:ascii="Times New Roman" w:hAnsi="Times New Roman" w:cs="Times New Roman"/>
          <w:sz w:val="24"/>
          <w:szCs w:val="24"/>
          <w:lang w:val="es-AR"/>
        </w:rPr>
      </w:pPr>
      <w:r w:rsidRPr="00A534BF">
        <w:rPr>
          <w:rFonts w:ascii="Times New Roman" w:hAnsi="Times New Roman" w:cs="Times New Roman"/>
          <w:sz w:val="24"/>
          <w:szCs w:val="24"/>
          <w:lang w:val="uz-Cyrl-UZ"/>
        </w:rPr>
        <w:t xml:space="preserve">Como nos señala el </w:t>
      </w:r>
      <w:r w:rsidRPr="00A534BF">
        <w:rPr>
          <w:rFonts w:ascii="Times New Roman" w:hAnsi="Times New Roman" w:cs="Times New Roman"/>
          <w:sz w:val="24"/>
          <w:szCs w:val="24"/>
          <w:lang w:val="es-AR"/>
        </w:rPr>
        <w:t>Informe de la Comisión Independiente de Alto Nivel de la OMS</w:t>
      </w:r>
      <w:r w:rsidR="0045096F" w:rsidRPr="00A534BF">
        <w:rPr>
          <w:rFonts w:ascii="Times New Roman" w:hAnsi="Times New Roman" w:cs="Times New Roman"/>
          <w:sz w:val="24"/>
          <w:szCs w:val="24"/>
          <w:lang w:val="es-AR"/>
        </w:rPr>
        <w:t xml:space="preserve"> </w:t>
      </w:r>
      <w:r w:rsidRPr="00A534BF">
        <w:rPr>
          <w:rFonts w:ascii="Times New Roman" w:hAnsi="Times New Roman" w:cs="Times New Roman"/>
          <w:sz w:val="24"/>
          <w:szCs w:val="24"/>
          <w:lang w:val="es-AR"/>
        </w:rPr>
        <w:t xml:space="preserve"> sobre Enfermedades No Transmisibles</w:t>
      </w:r>
      <w:r w:rsidR="00F30204" w:rsidRPr="00A534BF">
        <w:rPr>
          <w:rStyle w:val="Refdenotaalpie"/>
          <w:rFonts w:ascii="Times New Roman" w:hAnsi="Times New Roman" w:cs="Times New Roman"/>
          <w:sz w:val="24"/>
          <w:szCs w:val="24"/>
          <w:lang w:val="es-AR"/>
        </w:rPr>
        <w:footnoteReference w:id="34"/>
      </w:r>
      <w:r w:rsidRPr="00A534BF">
        <w:rPr>
          <w:rFonts w:ascii="Times New Roman" w:hAnsi="Times New Roman" w:cs="Times New Roman"/>
          <w:sz w:val="24"/>
          <w:szCs w:val="24"/>
          <w:lang w:val="es-AR"/>
        </w:rPr>
        <w:t xml:space="preserve"> no hay excusas para la inacción, pues “</w:t>
      </w:r>
      <w:r w:rsidRPr="00A534BF">
        <w:rPr>
          <w:rFonts w:ascii="Times New Roman" w:hAnsi="Times New Roman" w:cs="Times New Roman"/>
          <w:i/>
          <w:sz w:val="24"/>
          <w:szCs w:val="24"/>
          <w:lang w:val="es-AR"/>
        </w:rPr>
        <w:t>a pesar de disponer de soluciones basadas en pruebas científicas, muchos países no estan cumpliendo con sus compromisos políticos para alcanzar las metas de las Agenda 2030 y la promesa de no dejar a nadie atrás</w:t>
      </w:r>
      <w:r w:rsidRPr="00A534BF">
        <w:rPr>
          <w:rFonts w:ascii="Times New Roman" w:hAnsi="Times New Roman" w:cs="Times New Roman"/>
          <w:sz w:val="24"/>
          <w:szCs w:val="24"/>
          <w:lang w:val="es-AR"/>
        </w:rPr>
        <w:t>”</w:t>
      </w:r>
      <w:r w:rsidR="00772C61" w:rsidRPr="00A534BF">
        <w:rPr>
          <w:rFonts w:ascii="Times New Roman" w:hAnsi="Times New Roman" w:cs="Times New Roman"/>
          <w:sz w:val="24"/>
          <w:szCs w:val="24"/>
          <w:lang w:val="es-AR"/>
        </w:rPr>
        <w:t xml:space="preserve">. </w:t>
      </w:r>
      <w:r w:rsidR="00DD4C64" w:rsidRPr="00A534BF">
        <w:rPr>
          <w:rFonts w:ascii="Times New Roman" w:hAnsi="Times New Roman" w:cs="Times New Roman"/>
          <w:sz w:val="24"/>
          <w:szCs w:val="24"/>
          <w:lang w:val="es-AR"/>
        </w:rPr>
        <w:t xml:space="preserve"> En tal sentido, resulta clave la incorporación del tema en la Agenda en el mázimo nivel politico. Las Reuniones de Ministros del MERCOSUR constituyen un ámbito pleno de oportunidades para trabajar formulando una política regional de ECNT, no solo contemplando la vgilancia de estas enfermedades sino tambien promoviendo políticas destinadas a abordarlas en forma integral trabajando sobre los factores de riesgo, la prevención y promoción de la salud</w:t>
      </w:r>
      <w:r w:rsidR="00DD4C64" w:rsidRPr="00A534BF">
        <w:rPr>
          <w:rStyle w:val="Refdenotaalpie"/>
          <w:rFonts w:ascii="Times New Roman" w:hAnsi="Times New Roman" w:cs="Times New Roman"/>
          <w:sz w:val="24"/>
          <w:szCs w:val="24"/>
          <w:lang w:val="es-AR"/>
        </w:rPr>
        <w:footnoteReference w:id="35"/>
      </w:r>
      <w:r w:rsidR="00DD4C64" w:rsidRPr="00A534BF">
        <w:rPr>
          <w:rFonts w:ascii="Times New Roman" w:hAnsi="Times New Roman" w:cs="Times New Roman"/>
          <w:sz w:val="24"/>
          <w:szCs w:val="24"/>
          <w:lang w:val="es-AR"/>
        </w:rPr>
        <w:t>.</w:t>
      </w:r>
    </w:p>
    <w:p w14:paraId="72618514" w14:textId="55FADD20" w:rsidR="00DD4C64" w:rsidRPr="00A534BF" w:rsidRDefault="00196F98" w:rsidP="003B74A4">
      <w:pPr>
        <w:rPr>
          <w:rFonts w:ascii="Times New Roman" w:hAnsi="Times New Roman" w:cs="Times New Roman"/>
          <w:sz w:val="24"/>
          <w:szCs w:val="24"/>
          <w:lang w:val="es-AR"/>
        </w:rPr>
      </w:pPr>
      <w:r w:rsidRPr="00A534BF">
        <w:rPr>
          <w:rFonts w:ascii="Times New Roman" w:hAnsi="Times New Roman" w:cs="Times New Roman"/>
          <w:sz w:val="24"/>
          <w:szCs w:val="24"/>
          <w:lang w:val="es-AR"/>
        </w:rPr>
        <w:t xml:space="preserve">Como hemos aprendido a partir de los Objetivos de Desarrollo </w:t>
      </w:r>
      <w:r w:rsidR="0045096F" w:rsidRPr="00A534BF">
        <w:rPr>
          <w:rFonts w:ascii="Times New Roman" w:hAnsi="Times New Roman" w:cs="Times New Roman"/>
          <w:sz w:val="24"/>
          <w:szCs w:val="24"/>
          <w:lang w:val="es-AR"/>
        </w:rPr>
        <w:t xml:space="preserve">del Milénio </w:t>
      </w:r>
      <w:r w:rsidRPr="00A534BF">
        <w:rPr>
          <w:rFonts w:ascii="Times New Roman" w:hAnsi="Times New Roman" w:cs="Times New Roman"/>
          <w:sz w:val="24"/>
          <w:szCs w:val="24"/>
          <w:lang w:val="es-AR"/>
        </w:rPr>
        <w:t>de la Declaración del Milenio de las Naciones Unidas</w:t>
      </w:r>
      <w:r w:rsidR="00C65A6E" w:rsidRPr="00A534BF">
        <w:rPr>
          <w:rFonts w:ascii="Times New Roman" w:hAnsi="Times New Roman" w:cs="Times New Roman"/>
          <w:sz w:val="24"/>
          <w:szCs w:val="24"/>
          <w:lang w:val="es-AR"/>
        </w:rPr>
        <w:t>, lección que tendría que ser capitalizada para la Agenda 2030 y los ODS</w:t>
      </w:r>
      <w:r w:rsidRPr="00A534BF">
        <w:rPr>
          <w:rFonts w:ascii="Times New Roman" w:hAnsi="Times New Roman" w:cs="Times New Roman"/>
          <w:sz w:val="24"/>
          <w:szCs w:val="24"/>
          <w:lang w:val="es-AR"/>
        </w:rPr>
        <w:t xml:space="preserve">, </w:t>
      </w:r>
      <w:r w:rsidR="003E3F6E" w:rsidRPr="00A534BF">
        <w:rPr>
          <w:rFonts w:ascii="Times New Roman" w:hAnsi="Times New Roman" w:cs="Times New Roman"/>
          <w:sz w:val="24"/>
          <w:szCs w:val="24"/>
          <w:lang w:val="es-AR"/>
        </w:rPr>
        <w:t>cuando tenemos metas claras es mas fácil sinergizar esfuerzos de los diferentes actores, mancomunando acci</w:t>
      </w:r>
      <w:r w:rsidR="00DD4C64" w:rsidRPr="00A534BF">
        <w:rPr>
          <w:rFonts w:ascii="Times New Roman" w:hAnsi="Times New Roman" w:cs="Times New Roman"/>
          <w:sz w:val="24"/>
          <w:szCs w:val="24"/>
          <w:lang w:val="es-AR"/>
        </w:rPr>
        <w:t>ones y cooperando para el alcanc</w:t>
      </w:r>
      <w:r w:rsidR="003E3F6E" w:rsidRPr="00A534BF">
        <w:rPr>
          <w:rFonts w:ascii="Times New Roman" w:hAnsi="Times New Roman" w:cs="Times New Roman"/>
          <w:sz w:val="24"/>
          <w:szCs w:val="24"/>
          <w:lang w:val="es-AR"/>
        </w:rPr>
        <w:t xml:space="preserve">e de la misma. </w:t>
      </w:r>
      <w:r w:rsidR="00DD4C64" w:rsidRPr="00A534BF">
        <w:rPr>
          <w:rFonts w:ascii="Times New Roman" w:hAnsi="Times New Roman" w:cs="Times New Roman"/>
          <w:sz w:val="24"/>
          <w:szCs w:val="24"/>
          <w:lang w:val="es-AR"/>
        </w:rPr>
        <w:t>La Formulación de una Política Mercosur para el Enfrentamiento de las ECNT, en el marco de las Reuniones de Ministros de Salud del MERCOSUR, que permita formular objetivos claros, metas y cursos de acción constituye una oportunidad para alinear a todos los actores y generar sinergias entre la autoridad sanitaria, la academia, la sociedad civil y el propio sector privado para el alcance de la meta 3,4 en el bloque.</w:t>
      </w:r>
    </w:p>
    <w:p w14:paraId="151BD0BB" w14:textId="5A51B94C" w:rsidR="00196F98" w:rsidRPr="00A534BF" w:rsidRDefault="003E3F6E" w:rsidP="003B74A4">
      <w:pPr>
        <w:rPr>
          <w:rFonts w:ascii="Times New Roman" w:hAnsi="Times New Roman" w:cs="Times New Roman"/>
          <w:sz w:val="24"/>
          <w:szCs w:val="24"/>
          <w:lang w:val="uz-Cyrl-UZ"/>
        </w:rPr>
      </w:pPr>
      <w:r w:rsidRPr="00A534BF">
        <w:rPr>
          <w:rFonts w:ascii="Times New Roman" w:hAnsi="Times New Roman" w:cs="Times New Roman"/>
          <w:sz w:val="24"/>
          <w:szCs w:val="24"/>
          <w:lang w:val="uz-Cyrl-UZ"/>
        </w:rPr>
        <w:t xml:space="preserve">Como se ha planteado en la hipótesis que guia el presente trabajo, la integración regional permite un ambiente pleno de oportunidades para abordar estos problemas de salud como las ECNT, que trascienden las fronteras e incluso para intervenir en otros ODS que constituyen importantes determinantes de la </w:t>
      </w:r>
      <w:r w:rsidR="0045096F" w:rsidRPr="00A534BF">
        <w:rPr>
          <w:rFonts w:ascii="Times New Roman" w:hAnsi="Times New Roman" w:cs="Times New Roman"/>
          <w:sz w:val="24"/>
          <w:szCs w:val="24"/>
          <w:lang w:val="es-ES"/>
        </w:rPr>
        <w:t>s</w:t>
      </w:r>
      <w:r w:rsidRPr="00A534BF">
        <w:rPr>
          <w:rFonts w:ascii="Times New Roman" w:hAnsi="Times New Roman" w:cs="Times New Roman"/>
          <w:sz w:val="24"/>
          <w:szCs w:val="24"/>
          <w:lang w:val="uz-Cyrl-UZ"/>
        </w:rPr>
        <w:t xml:space="preserve">alud. </w:t>
      </w:r>
    </w:p>
    <w:p w14:paraId="0B283A80" w14:textId="1E0AD1DD" w:rsidR="003E3F6E" w:rsidRPr="00A534BF" w:rsidRDefault="003E3F6E" w:rsidP="003B74A4">
      <w:pPr>
        <w:rPr>
          <w:rFonts w:ascii="Times New Roman" w:hAnsi="Times New Roman" w:cs="Times New Roman"/>
          <w:sz w:val="24"/>
          <w:szCs w:val="24"/>
          <w:lang w:val="uz-Cyrl-UZ"/>
        </w:rPr>
      </w:pPr>
      <w:r w:rsidRPr="00A534BF">
        <w:rPr>
          <w:rFonts w:ascii="Times New Roman" w:hAnsi="Times New Roman" w:cs="Times New Roman"/>
          <w:sz w:val="24"/>
          <w:szCs w:val="24"/>
          <w:lang w:val="uz-Cyrl-UZ"/>
        </w:rPr>
        <w:t xml:space="preserve">Es necesario que a nivel del MERCOSUR retomemos el camino de la </w:t>
      </w:r>
      <w:r w:rsidR="0045096F" w:rsidRPr="00A534BF">
        <w:rPr>
          <w:rFonts w:ascii="Times New Roman" w:hAnsi="Times New Roman" w:cs="Times New Roman"/>
          <w:sz w:val="24"/>
          <w:szCs w:val="24"/>
          <w:lang w:val="es-ES"/>
        </w:rPr>
        <w:t>p</w:t>
      </w:r>
      <w:r w:rsidRPr="00A534BF">
        <w:rPr>
          <w:rFonts w:ascii="Times New Roman" w:hAnsi="Times New Roman" w:cs="Times New Roman"/>
          <w:sz w:val="24"/>
          <w:szCs w:val="24"/>
          <w:lang w:val="uz-Cyrl-UZ"/>
        </w:rPr>
        <w:t>lanificación</w:t>
      </w:r>
      <w:r w:rsidR="0045096F" w:rsidRPr="00A534BF">
        <w:rPr>
          <w:rFonts w:ascii="Times New Roman" w:hAnsi="Times New Roman" w:cs="Times New Roman"/>
          <w:sz w:val="24"/>
          <w:szCs w:val="24"/>
          <w:lang w:val="es-ES"/>
        </w:rPr>
        <w:t xml:space="preserve"> gubernamental</w:t>
      </w:r>
      <w:r w:rsidRPr="00A534BF">
        <w:rPr>
          <w:rFonts w:ascii="Times New Roman" w:hAnsi="Times New Roman" w:cs="Times New Roman"/>
          <w:sz w:val="24"/>
          <w:szCs w:val="24"/>
          <w:lang w:val="uz-Cyrl-UZ"/>
        </w:rPr>
        <w:t xml:space="preserve">, acordando compromisos políticos entre los Ministros de Salud y de otros </w:t>
      </w:r>
      <w:r w:rsidR="000128C1" w:rsidRPr="00A534BF">
        <w:rPr>
          <w:rFonts w:ascii="Times New Roman" w:hAnsi="Times New Roman" w:cs="Times New Roman"/>
          <w:sz w:val="24"/>
          <w:szCs w:val="24"/>
          <w:lang w:val="uz-Cyrl-UZ"/>
        </w:rPr>
        <w:t xml:space="preserve">sectores, como las Reuniones de Ministros de Desarrollo Social o de Ministros de Educación del MERCOSUR, generando sinergias y mancomunando esfuerzos </w:t>
      </w:r>
      <w:r w:rsidRPr="00A534BF">
        <w:rPr>
          <w:rFonts w:ascii="Times New Roman" w:hAnsi="Times New Roman" w:cs="Times New Roman"/>
          <w:sz w:val="24"/>
          <w:szCs w:val="24"/>
          <w:lang w:val="uz-Cyrl-UZ"/>
        </w:rPr>
        <w:t xml:space="preserve">e incluso encaminandoló </w:t>
      </w:r>
      <w:r w:rsidR="000128C1" w:rsidRPr="00A534BF">
        <w:rPr>
          <w:rFonts w:ascii="Times New Roman" w:hAnsi="Times New Roman" w:cs="Times New Roman"/>
          <w:sz w:val="24"/>
          <w:szCs w:val="24"/>
          <w:lang w:val="uz-Cyrl-UZ"/>
        </w:rPr>
        <w:t>a la agenda de los Presidentes del MERCOSUR.</w:t>
      </w:r>
    </w:p>
    <w:p w14:paraId="662C5F83" w14:textId="2F36EB56" w:rsidR="003E3F6E" w:rsidRPr="00A534BF" w:rsidRDefault="000128C1" w:rsidP="003B74A4">
      <w:pPr>
        <w:rPr>
          <w:rFonts w:ascii="Times New Roman" w:hAnsi="Times New Roman" w:cs="Times New Roman"/>
          <w:sz w:val="24"/>
          <w:szCs w:val="24"/>
          <w:lang w:val="uz-Cyrl-UZ"/>
        </w:rPr>
      </w:pPr>
      <w:r w:rsidRPr="00A534BF">
        <w:rPr>
          <w:rFonts w:ascii="Times New Roman" w:hAnsi="Times New Roman" w:cs="Times New Roman"/>
          <w:sz w:val="24"/>
          <w:szCs w:val="24"/>
          <w:lang w:val="uz-Cyrl-UZ"/>
        </w:rPr>
        <w:t xml:space="preserve">Desde el punto de vista del financiamiento, el </w:t>
      </w:r>
      <w:r w:rsidR="00C65A6E" w:rsidRPr="00A534BF">
        <w:rPr>
          <w:rFonts w:ascii="Times New Roman" w:hAnsi="Times New Roman" w:cs="Times New Roman"/>
          <w:sz w:val="24"/>
          <w:szCs w:val="24"/>
          <w:lang w:val="uz-Cyrl-UZ"/>
        </w:rPr>
        <w:t xml:space="preserve">Fondo de Asimetrías Estrutrales del MERCOSUR- </w:t>
      </w:r>
      <w:r w:rsidRPr="00A534BF">
        <w:rPr>
          <w:rFonts w:ascii="Times New Roman" w:hAnsi="Times New Roman" w:cs="Times New Roman"/>
          <w:sz w:val="24"/>
          <w:szCs w:val="24"/>
          <w:lang w:val="uz-Cyrl-UZ"/>
        </w:rPr>
        <w:t>FOCEM, podría permitir la elaboración de un proyecto para abordar en forma regional las ECNT, justificado lo mismo en el alto peso que tienen estas enfermedades en la carga de enfermedad.</w:t>
      </w:r>
    </w:p>
    <w:p w14:paraId="3E1D378F" w14:textId="2CB5E45D" w:rsidR="00970BDF" w:rsidRDefault="000128C1" w:rsidP="003B74A4">
      <w:pPr>
        <w:rPr>
          <w:rFonts w:ascii="Times New Roman" w:hAnsi="Times New Roman" w:cs="Times New Roman"/>
          <w:sz w:val="24"/>
          <w:szCs w:val="24"/>
          <w:lang w:val="uz-Cyrl-UZ"/>
        </w:rPr>
      </w:pPr>
      <w:r w:rsidRPr="00A534BF">
        <w:rPr>
          <w:rFonts w:ascii="Times New Roman" w:hAnsi="Times New Roman" w:cs="Times New Roman"/>
          <w:sz w:val="24"/>
          <w:szCs w:val="24"/>
          <w:lang w:val="uz-Cyrl-UZ"/>
        </w:rPr>
        <w:t>La adopción de una Política Mercosur sobre ECNT</w:t>
      </w:r>
      <w:r w:rsidR="00970BDF" w:rsidRPr="00A534BF">
        <w:rPr>
          <w:rFonts w:ascii="Times New Roman" w:hAnsi="Times New Roman" w:cs="Times New Roman"/>
          <w:sz w:val="24"/>
          <w:szCs w:val="24"/>
          <w:lang w:val="uz-Cyrl-UZ"/>
        </w:rPr>
        <w:t xml:space="preserve"> como medio para el cumplimiento del ODS 3 de la Agenda 2030</w:t>
      </w:r>
      <w:r w:rsidRPr="00A534BF">
        <w:rPr>
          <w:rFonts w:ascii="Times New Roman" w:hAnsi="Times New Roman" w:cs="Times New Roman"/>
          <w:sz w:val="24"/>
          <w:szCs w:val="24"/>
          <w:lang w:val="uz-Cyrl-UZ"/>
        </w:rPr>
        <w:t>, no tendría que ser visto como un probl</w:t>
      </w:r>
      <w:r w:rsidR="00970BDF" w:rsidRPr="00A534BF">
        <w:rPr>
          <w:rFonts w:ascii="Times New Roman" w:hAnsi="Times New Roman" w:cs="Times New Roman"/>
          <w:sz w:val="24"/>
          <w:szCs w:val="24"/>
          <w:lang w:val="uz-Cyrl-UZ"/>
        </w:rPr>
        <w:t xml:space="preserve">ema de las autoridades de salud. Sino que se trata de un tema </w:t>
      </w:r>
      <w:r w:rsidRPr="00A534BF">
        <w:rPr>
          <w:rFonts w:ascii="Times New Roman" w:hAnsi="Times New Roman" w:cs="Times New Roman"/>
          <w:sz w:val="24"/>
          <w:szCs w:val="24"/>
          <w:lang w:val="uz-Cyrl-UZ"/>
        </w:rPr>
        <w:t xml:space="preserve">que debería ser planteado como un desafío del bloque, que involucre tanto a los Ministerios de Salud en alianza con otros </w:t>
      </w:r>
      <w:r w:rsidRPr="00A534BF">
        <w:rPr>
          <w:rFonts w:ascii="Times New Roman" w:hAnsi="Times New Roman" w:cs="Times New Roman"/>
          <w:sz w:val="24"/>
          <w:szCs w:val="24"/>
          <w:lang w:val="uz-Cyrl-UZ"/>
        </w:rPr>
        <w:lastRenderedPageBreak/>
        <w:t>sectores</w:t>
      </w:r>
      <w:r w:rsidR="00970BDF" w:rsidRPr="00A534BF">
        <w:rPr>
          <w:rFonts w:ascii="Times New Roman" w:hAnsi="Times New Roman" w:cs="Times New Roman"/>
          <w:sz w:val="24"/>
          <w:szCs w:val="24"/>
          <w:lang w:val="uz-Cyrl-UZ"/>
        </w:rPr>
        <w:t xml:space="preserve"> como Educación, Desarrollo Social etc</w:t>
      </w:r>
      <w:r w:rsidRPr="00A534BF">
        <w:rPr>
          <w:rFonts w:ascii="Times New Roman" w:hAnsi="Times New Roman" w:cs="Times New Roman"/>
          <w:sz w:val="24"/>
          <w:szCs w:val="24"/>
          <w:lang w:val="uz-Cyrl-UZ"/>
        </w:rPr>
        <w:t>,</w:t>
      </w:r>
      <w:r w:rsidR="00970BDF" w:rsidRPr="00A534BF">
        <w:rPr>
          <w:rFonts w:ascii="Times New Roman" w:hAnsi="Times New Roman" w:cs="Times New Roman"/>
          <w:sz w:val="24"/>
          <w:szCs w:val="24"/>
          <w:lang w:val="uz-Cyrl-UZ"/>
        </w:rPr>
        <w:t xml:space="preserve"> y propicie acciones </w:t>
      </w:r>
      <w:r w:rsidRPr="00A534BF">
        <w:rPr>
          <w:rFonts w:ascii="Times New Roman" w:hAnsi="Times New Roman" w:cs="Times New Roman"/>
          <w:sz w:val="24"/>
          <w:szCs w:val="24"/>
          <w:lang w:val="uz-Cyrl-UZ"/>
        </w:rPr>
        <w:t xml:space="preserve"> en todas las políticas e incluso involucrando a la sociedad civil, como las asociaciones </w:t>
      </w:r>
      <w:r w:rsidR="00970BDF" w:rsidRPr="00A534BF">
        <w:rPr>
          <w:rFonts w:ascii="Times New Roman" w:hAnsi="Times New Roman" w:cs="Times New Roman"/>
          <w:sz w:val="24"/>
          <w:szCs w:val="24"/>
          <w:lang w:val="uz-Cyrl-UZ"/>
        </w:rPr>
        <w:t xml:space="preserve">acadécmicas, </w:t>
      </w:r>
      <w:r w:rsidRPr="00A534BF">
        <w:rPr>
          <w:rFonts w:ascii="Times New Roman" w:hAnsi="Times New Roman" w:cs="Times New Roman"/>
          <w:sz w:val="24"/>
          <w:szCs w:val="24"/>
          <w:lang w:val="uz-Cyrl-UZ"/>
        </w:rPr>
        <w:t xml:space="preserve">cientíticas y profesionales </w:t>
      </w:r>
      <w:r w:rsidR="00970BDF" w:rsidRPr="00A534BF">
        <w:rPr>
          <w:rFonts w:ascii="Times New Roman" w:hAnsi="Times New Roman" w:cs="Times New Roman"/>
          <w:sz w:val="24"/>
          <w:szCs w:val="24"/>
          <w:lang w:val="uz-Cyrl-UZ"/>
        </w:rPr>
        <w:t>mancomunando sus esfuerzos así como del sector privado para abordar problemas de salud, que como hemos visto tienen un peso decisivo en el estado de salud del bloque.</w:t>
      </w:r>
    </w:p>
    <w:p w14:paraId="26F87B37" w14:textId="3F632085" w:rsidR="003B74A4" w:rsidRPr="00A534BF" w:rsidRDefault="003B74A4" w:rsidP="003B74A4">
      <w:pPr>
        <w:rPr>
          <w:rFonts w:ascii="Times New Roman" w:hAnsi="Times New Roman" w:cs="Times New Roman"/>
          <w:sz w:val="24"/>
          <w:szCs w:val="24"/>
          <w:lang w:val="uz-Cyrl-UZ"/>
        </w:rPr>
      </w:pPr>
      <w:r>
        <w:rPr>
          <w:rFonts w:ascii="Times New Roman" w:hAnsi="Times New Roman" w:cs="Times New Roman"/>
          <w:sz w:val="24"/>
          <w:szCs w:val="24"/>
          <w:lang w:val="uz-Cyrl-UZ"/>
        </w:rPr>
        <w:t xml:space="preserve">La incorporación de las ECNT en el </w:t>
      </w:r>
      <w:r w:rsidRPr="003B74A4">
        <w:rPr>
          <w:rFonts w:ascii="Times New Roman" w:hAnsi="Times New Roman" w:cs="Times New Roman"/>
          <w:sz w:val="24"/>
          <w:szCs w:val="24"/>
          <w:lang w:val="uz-Cyrl-UZ"/>
        </w:rPr>
        <w:t xml:space="preserve">PLAN ESTRATÉGICO DE ACCIÓN SOCIAL DEL MERCOSUR </w:t>
      </w:r>
      <w:r>
        <w:rPr>
          <w:rFonts w:ascii="Times New Roman" w:hAnsi="Times New Roman" w:cs="Times New Roman"/>
          <w:sz w:val="24"/>
          <w:szCs w:val="24"/>
          <w:lang w:val="uz-Cyrl-UZ"/>
        </w:rPr>
        <w:t>–</w:t>
      </w:r>
      <w:r w:rsidRPr="003B74A4">
        <w:rPr>
          <w:rFonts w:ascii="Times New Roman" w:hAnsi="Times New Roman" w:cs="Times New Roman"/>
          <w:sz w:val="24"/>
          <w:szCs w:val="24"/>
          <w:lang w:val="uz-Cyrl-UZ"/>
        </w:rPr>
        <w:t>PEAS</w:t>
      </w:r>
      <w:r>
        <w:rPr>
          <w:rFonts w:ascii="Times New Roman" w:hAnsi="Times New Roman" w:cs="Times New Roman"/>
          <w:sz w:val="24"/>
          <w:szCs w:val="24"/>
          <w:lang w:val="uz-Cyrl-UZ"/>
        </w:rPr>
        <w:t xml:space="preserve"> podria ser el medio apropiado para operacionalizar una </w:t>
      </w:r>
      <w:r w:rsidRPr="003B74A4">
        <w:rPr>
          <w:rFonts w:ascii="Times New Roman" w:hAnsi="Times New Roman" w:cs="Times New Roman"/>
          <w:sz w:val="24"/>
          <w:szCs w:val="24"/>
          <w:lang w:val="uz-Cyrl-UZ"/>
        </w:rPr>
        <w:t>para articular y desarrollar acciones específicas, integrales e intersectoriales</w:t>
      </w:r>
      <w:r>
        <w:rPr>
          <w:rFonts w:ascii="Times New Roman" w:hAnsi="Times New Roman" w:cs="Times New Roman"/>
          <w:sz w:val="24"/>
          <w:szCs w:val="24"/>
          <w:lang w:val="uz-Cyrl-UZ"/>
        </w:rPr>
        <w:t xml:space="preserve"> sobre este problema de salud, que como hemos visto impactan en forma significativa en la salud de la población del MERCOSUR</w:t>
      </w:r>
    </w:p>
    <w:p w14:paraId="5942EF3C" w14:textId="77777777" w:rsidR="009272F3" w:rsidRPr="00A534BF" w:rsidRDefault="009272F3" w:rsidP="00F30204">
      <w:pPr>
        <w:jc w:val="both"/>
        <w:rPr>
          <w:rFonts w:ascii="Times New Roman" w:hAnsi="Times New Roman" w:cs="Times New Roman"/>
          <w:i/>
          <w:sz w:val="24"/>
          <w:szCs w:val="24"/>
          <w:lang w:val="uz-Cyrl-UZ"/>
        </w:rPr>
      </w:pPr>
    </w:p>
    <w:p w14:paraId="77E0B127" w14:textId="77777777" w:rsidR="001B3DB8" w:rsidRPr="00A534BF" w:rsidRDefault="001B3DB8" w:rsidP="00F30204">
      <w:pPr>
        <w:jc w:val="both"/>
        <w:rPr>
          <w:rFonts w:ascii="Times New Roman" w:hAnsi="Times New Roman" w:cs="Times New Roman"/>
          <w:sz w:val="24"/>
          <w:szCs w:val="24"/>
          <w:lang w:val="uz-Cyrl-UZ"/>
        </w:rPr>
      </w:pPr>
    </w:p>
    <w:sectPr w:rsidR="001B3DB8" w:rsidRPr="00A534BF">
      <w:pgSz w:w="11906" w:h="16838"/>
      <w:pgMar w:top="1417" w:right="1701" w:bottom="1417"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9D39B2" w16cid:durableId="1ECF84B2"/>
  <w16cid:commentId w16cid:paraId="549D32F6" w16cid:durableId="1ECF86D9"/>
  <w16cid:commentId w16cid:paraId="24FD6B67" w16cid:durableId="1ECF895A"/>
  <w16cid:commentId w16cid:paraId="65D81C28" w16cid:durableId="1ECF89AA"/>
  <w16cid:commentId w16cid:paraId="33626859" w16cid:durableId="1ECF89BE"/>
  <w16cid:commentId w16cid:paraId="0D5FF9E9" w16cid:durableId="1ECF89EA"/>
  <w16cid:commentId w16cid:paraId="583B1DBB" w16cid:durableId="1ECF8A26"/>
  <w16cid:commentId w16cid:paraId="177A60F3" w16cid:durableId="1ED23D5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3B4E06" w14:textId="77777777" w:rsidR="00551ED2" w:rsidRDefault="00551ED2" w:rsidP="00BA0DC7">
      <w:pPr>
        <w:spacing w:after="0" w:line="240" w:lineRule="auto"/>
      </w:pPr>
      <w:r>
        <w:separator/>
      </w:r>
    </w:p>
  </w:endnote>
  <w:endnote w:type="continuationSeparator" w:id="0">
    <w:p w14:paraId="4E2EAC75" w14:textId="77777777" w:rsidR="00551ED2" w:rsidRDefault="00551ED2" w:rsidP="00BA0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56134" w14:textId="77777777" w:rsidR="00551ED2" w:rsidRDefault="00551ED2" w:rsidP="00BA0DC7">
      <w:pPr>
        <w:spacing w:after="0" w:line="240" w:lineRule="auto"/>
      </w:pPr>
      <w:r>
        <w:separator/>
      </w:r>
    </w:p>
  </w:footnote>
  <w:footnote w:type="continuationSeparator" w:id="0">
    <w:p w14:paraId="27A73218" w14:textId="77777777" w:rsidR="00551ED2" w:rsidRDefault="00551ED2" w:rsidP="00BA0DC7">
      <w:pPr>
        <w:spacing w:after="0" w:line="240" w:lineRule="auto"/>
      </w:pPr>
      <w:r>
        <w:continuationSeparator/>
      </w:r>
    </w:p>
  </w:footnote>
  <w:footnote w:id="1">
    <w:p w14:paraId="342B4D90" w14:textId="382137BE" w:rsidR="00AF652C" w:rsidRPr="00A534BF" w:rsidRDefault="00AF652C" w:rsidP="00A819BF">
      <w:pPr>
        <w:pStyle w:val="Textonotapie"/>
        <w:jc w:val="both"/>
        <w:rPr>
          <w:rFonts w:ascii="Times New Roman" w:hAnsi="Times New Roman" w:cs="Times New Roman"/>
          <w:lang w:val="es-ES"/>
        </w:rPr>
      </w:pPr>
      <w:r w:rsidRPr="00A534BF">
        <w:rPr>
          <w:rStyle w:val="Refdenotaalpie"/>
          <w:rFonts w:ascii="Times New Roman" w:hAnsi="Times New Roman" w:cs="Times New Roman"/>
        </w:rPr>
        <w:footnoteRef/>
      </w:r>
      <w:r w:rsidRPr="00A534BF">
        <w:rPr>
          <w:rFonts w:ascii="Times New Roman" w:hAnsi="Times New Roman" w:cs="Times New Roman"/>
          <w:lang w:val="es-ES"/>
        </w:rPr>
        <w:t xml:space="preserve"> Ver: </w:t>
      </w:r>
      <w:proofErr w:type="spellStart"/>
      <w:r w:rsidRPr="00A534BF">
        <w:rPr>
          <w:rFonts w:ascii="Times New Roman" w:hAnsi="Times New Roman" w:cs="Times New Roman"/>
          <w:lang w:val="es-ES"/>
        </w:rPr>
        <w:t>United</w:t>
      </w:r>
      <w:proofErr w:type="spellEnd"/>
      <w:r w:rsidRPr="00A534BF">
        <w:rPr>
          <w:rFonts w:ascii="Times New Roman" w:hAnsi="Times New Roman" w:cs="Times New Roman"/>
          <w:lang w:val="es-ES"/>
        </w:rPr>
        <w:t xml:space="preserve"> </w:t>
      </w:r>
      <w:proofErr w:type="spellStart"/>
      <w:r w:rsidRPr="00A534BF">
        <w:rPr>
          <w:rFonts w:ascii="Times New Roman" w:hAnsi="Times New Roman" w:cs="Times New Roman"/>
          <w:lang w:val="es-ES"/>
        </w:rPr>
        <w:t>Nations</w:t>
      </w:r>
      <w:proofErr w:type="spellEnd"/>
      <w:r w:rsidRPr="00A534BF">
        <w:rPr>
          <w:rFonts w:ascii="Times New Roman" w:hAnsi="Times New Roman" w:cs="Times New Roman"/>
          <w:lang w:val="es-ES"/>
        </w:rPr>
        <w:t xml:space="preserve"> A/RES/66/2 </w:t>
      </w:r>
      <w:r w:rsidRPr="00A534BF">
        <w:rPr>
          <w:rFonts w:ascii="Times New Roman" w:hAnsi="Times New Roman" w:cs="Times New Roman"/>
          <w:color w:val="222222"/>
          <w:lang w:val="es-ES"/>
        </w:rPr>
        <w:t>Declaración política de la reunión de alto nivel de la</w:t>
      </w:r>
      <w:r w:rsidRPr="00A534BF">
        <w:rPr>
          <w:rFonts w:ascii="Times New Roman" w:hAnsi="Times New Roman" w:cs="Times New Roman"/>
          <w:color w:val="222222"/>
          <w:lang w:val="es-ES"/>
        </w:rPr>
        <w:br/>
        <w:t>Asamblea General sobre Prevención y Control de Enfermedades no transmisibles. Disponible en:</w:t>
      </w:r>
      <w:r w:rsidRPr="00A534BF">
        <w:rPr>
          <w:rFonts w:ascii="Times New Roman" w:hAnsi="Times New Roman" w:cs="Times New Roman"/>
          <w:lang w:val="es-ES"/>
        </w:rPr>
        <w:t xml:space="preserve"> </w:t>
      </w:r>
      <w:hyperlink r:id="rId1" w:history="1">
        <w:r w:rsidRPr="00A534BF">
          <w:rPr>
            <w:rStyle w:val="Hipervnculo"/>
            <w:rFonts w:ascii="Times New Roman" w:hAnsi="Times New Roman" w:cs="Times New Roman"/>
            <w:lang w:val="es-ES"/>
          </w:rPr>
          <w:t>http://www.who.int/nmh/events/un_ncd_summit2011/political_declaration_en.pdf?ua=1</w:t>
        </w:r>
      </w:hyperlink>
      <w:r w:rsidRPr="00A534BF">
        <w:rPr>
          <w:rFonts w:ascii="Times New Roman" w:hAnsi="Times New Roman" w:cs="Times New Roman"/>
          <w:lang w:val="es-ES"/>
        </w:rPr>
        <w:t xml:space="preserve"> Acceso: Junio 2018.</w:t>
      </w:r>
    </w:p>
  </w:footnote>
  <w:footnote w:id="2">
    <w:p w14:paraId="24192F7D" w14:textId="2E5AFF10" w:rsidR="00AF652C" w:rsidRPr="00641EE6" w:rsidRDefault="00AF652C" w:rsidP="00A819BF">
      <w:pPr>
        <w:pStyle w:val="Textonotapie"/>
        <w:jc w:val="both"/>
        <w:rPr>
          <w:rFonts w:ascii="Times New Roman" w:hAnsi="Times New Roman" w:cs="Times New Roman"/>
        </w:rPr>
      </w:pPr>
      <w:r w:rsidRPr="00A534BF">
        <w:rPr>
          <w:rStyle w:val="Refdenotaalpie"/>
          <w:rFonts w:ascii="Times New Roman" w:hAnsi="Times New Roman" w:cs="Times New Roman"/>
        </w:rPr>
        <w:footnoteRef/>
      </w:r>
      <w:r w:rsidRPr="00A534BF">
        <w:rPr>
          <w:rFonts w:ascii="Times New Roman" w:hAnsi="Times New Roman" w:cs="Times New Roman"/>
        </w:rPr>
        <w:t xml:space="preserve"> Buss, P; Tobar, S.; </w:t>
      </w:r>
      <w:proofErr w:type="spellStart"/>
      <w:r w:rsidRPr="00A534BF">
        <w:rPr>
          <w:rFonts w:ascii="Times New Roman" w:hAnsi="Times New Roman" w:cs="Times New Roman"/>
        </w:rPr>
        <w:t>Feo</w:t>
      </w:r>
      <w:proofErr w:type="spellEnd"/>
      <w:r w:rsidRPr="00A534BF">
        <w:rPr>
          <w:rFonts w:ascii="Times New Roman" w:hAnsi="Times New Roman" w:cs="Times New Roman"/>
        </w:rPr>
        <w:t xml:space="preserve">, O; </w:t>
      </w:r>
      <w:proofErr w:type="spellStart"/>
      <w:r w:rsidRPr="00A534BF">
        <w:rPr>
          <w:rFonts w:ascii="Times New Roman" w:hAnsi="Times New Roman" w:cs="Times New Roman"/>
        </w:rPr>
        <w:t>Matida,A</w:t>
      </w:r>
      <w:proofErr w:type="spellEnd"/>
      <w:r w:rsidRPr="00A534BF">
        <w:rPr>
          <w:rFonts w:ascii="Times New Roman" w:hAnsi="Times New Roman" w:cs="Times New Roman"/>
        </w:rPr>
        <w:t xml:space="preserve">; y Hoirisch, C. (2017). A Saúde nos Processos de </w:t>
      </w:r>
      <w:proofErr w:type="spellStart"/>
      <w:r w:rsidRPr="00A534BF">
        <w:rPr>
          <w:rFonts w:ascii="Times New Roman" w:hAnsi="Times New Roman" w:cs="Times New Roman"/>
        </w:rPr>
        <w:t>Integracao</w:t>
      </w:r>
      <w:proofErr w:type="spellEnd"/>
      <w:r w:rsidRPr="00A534BF">
        <w:rPr>
          <w:rFonts w:ascii="Times New Roman" w:hAnsi="Times New Roman" w:cs="Times New Roman"/>
        </w:rPr>
        <w:t xml:space="preserve"> Regional da América Latina e Caribe. In:  BUSS, P. y TOBAR, S. (Org.) </w:t>
      </w:r>
      <w:r w:rsidRPr="00A534BF">
        <w:rPr>
          <w:rFonts w:ascii="Times New Roman" w:hAnsi="Times New Roman" w:cs="Times New Roman"/>
          <w:i/>
        </w:rPr>
        <w:t xml:space="preserve">Diplomacia em Saúde e Saúde Global: </w:t>
      </w:r>
      <w:proofErr w:type="spellStart"/>
      <w:r w:rsidRPr="00A534BF">
        <w:rPr>
          <w:rFonts w:ascii="Times New Roman" w:hAnsi="Times New Roman" w:cs="Times New Roman"/>
          <w:i/>
        </w:rPr>
        <w:t>Pespectivas</w:t>
      </w:r>
      <w:proofErr w:type="spellEnd"/>
      <w:r w:rsidRPr="00A534BF">
        <w:rPr>
          <w:rFonts w:ascii="Times New Roman" w:hAnsi="Times New Roman" w:cs="Times New Roman"/>
          <w:i/>
        </w:rPr>
        <w:t xml:space="preserve"> Latino-Americanas</w:t>
      </w:r>
      <w:r w:rsidRPr="00A534BF">
        <w:rPr>
          <w:rFonts w:ascii="Times New Roman" w:hAnsi="Times New Roman" w:cs="Times New Roman"/>
        </w:rPr>
        <w:t xml:space="preserve">. </w:t>
      </w:r>
      <w:r w:rsidRPr="00641EE6">
        <w:rPr>
          <w:rFonts w:ascii="Times New Roman" w:hAnsi="Times New Roman" w:cs="Times New Roman"/>
        </w:rPr>
        <w:t xml:space="preserve">Rio de Janeiro: Editora Fiocruz, 2017, pp. 421-484. </w:t>
      </w:r>
    </w:p>
  </w:footnote>
  <w:footnote w:id="3">
    <w:p w14:paraId="7A3554DB" w14:textId="14620967" w:rsidR="00AF652C" w:rsidRPr="00A534BF" w:rsidRDefault="00AF652C">
      <w:pPr>
        <w:pStyle w:val="Textonotapie"/>
        <w:rPr>
          <w:rFonts w:ascii="Times New Roman" w:hAnsi="Times New Roman" w:cs="Times New Roman"/>
          <w:lang w:val="es-ES_tradnl"/>
        </w:rPr>
      </w:pPr>
      <w:r w:rsidRPr="00A534BF">
        <w:rPr>
          <w:rStyle w:val="Refdenotaalpie"/>
          <w:rFonts w:ascii="Times New Roman" w:hAnsi="Times New Roman" w:cs="Times New Roman"/>
        </w:rPr>
        <w:footnoteRef/>
      </w:r>
      <w:r w:rsidRPr="00641EE6">
        <w:rPr>
          <w:rFonts w:ascii="Times New Roman" w:hAnsi="Times New Roman" w:cs="Times New Roman"/>
          <w:lang w:val="es-PY"/>
        </w:rPr>
        <w:t xml:space="preserve"> </w:t>
      </w:r>
      <w:r w:rsidRPr="00A534BF">
        <w:rPr>
          <w:rFonts w:ascii="Times New Roman" w:hAnsi="Times New Roman" w:cs="Times New Roman"/>
          <w:lang w:val="es-ES_tradnl"/>
        </w:rPr>
        <w:t xml:space="preserve">Ver OMS. Enfermedades No </w:t>
      </w:r>
      <w:proofErr w:type="spellStart"/>
      <w:r w:rsidRPr="00A534BF">
        <w:rPr>
          <w:rFonts w:ascii="Times New Roman" w:hAnsi="Times New Roman" w:cs="Times New Roman"/>
          <w:lang w:val="es-ES_tradnl"/>
        </w:rPr>
        <w:t>Tramsibles</w:t>
      </w:r>
      <w:proofErr w:type="spellEnd"/>
      <w:r w:rsidRPr="00A534BF">
        <w:rPr>
          <w:rFonts w:ascii="Times New Roman" w:hAnsi="Times New Roman" w:cs="Times New Roman"/>
          <w:lang w:val="es-ES_tradnl"/>
        </w:rPr>
        <w:t xml:space="preserve">:  Datos y Cifras. Disponible en: </w:t>
      </w:r>
      <w:hyperlink r:id="rId2" w:history="1">
        <w:r w:rsidRPr="00A534BF">
          <w:rPr>
            <w:rStyle w:val="Hipervnculo"/>
            <w:rFonts w:ascii="Times New Roman" w:hAnsi="Times New Roman" w:cs="Times New Roman"/>
            <w:lang w:val="es-ES_tradnl"/>
          </w:rPr>
          <w:t>http://www.who.int/es/news-room/fact-sheets/detail/noncommunicable-diseases</w:t>
        </w:r>
      </w:hyperlink>
      <w:r w:rsidRPr="00A534BF">
        <w:rPr>
          <w:rFonts w:ascii="Times New Roman" w:hAnsi="Times New Roman" w:cs="Times New Roman"/>
          <w:lang w:val="es-ES_tradnl"/>
        </w:rPr>
        <w:t>. Acceso jul.2018</w:t>
      </w:r>
    </w:p>
  </w:footnote>
  <w:footnote w:id="4">
    <w:p w14:paraId="230A4A8E" w14:textId="25B71150" w:rsidR="00AF652C" w:rsidRPr="00A534BF" w:rsidRDefault="00AF652C" w:rsidP="00A819BF">
      <w:pPr>
        <w:pStyle w:val="Sinespaciado"/>
        <w:jc w:val="both"/>
        <w:rPr>
          <w:rFonts w:ascii="Times New Roman" w:hAnsi="Times New Roman" w:cs="Times New Roman"/>
          <w:sz w:val="20"/>
          <w:szCs w:val="20"/>
          <w:lang w:val="es-AR"/>
        </w:rPr>
      </w:pPr>
      <w:r w:rsidRPr="00A534BF">
        <w:rPr>
          <w:rStyle w:val="Refdenotaalpie"/>
          <w:rFonts w:ascii="Times New Roman" w:hAnsi="Times New Roman" w:cs="Times New Roman"/>
          <w:sz w:val="20"/>
          <w:szCs w:val="20"/>
        </w:rPr>
        <w:footnoteRef/>
      </w:r>
      <w:r w:rsidRPr="00A534BF">
        <w:rPr>
          <w:rFonts w:ascii="Times New Roman" w:hAnsi="Times New Roman" w:cs="Times New Roman"/>
          <w:sz w:val="20"/>
          <w:szCs w:val="20"/>
          <w:lang w:val="es-ES"/>
        </w:rPr>
        <w:t xml:space="preserve"> </w:t>
      </w:r>
      <w:r w:rsidRPr="00A534BF">
        <w:rPr>
          <w:rFonts w:ascii="Times New Roman" w:hAnsi="Times New Roman" w:cs="Times New Roman"/>
          <w:sz w:val="20"/>
          <w:szCs w:val="20"/>
          <w:lang w:val="es-AR"/>
        </w:rPr>
        <w:t>Según datos de la OMS,  el tabaco es una de las mayores amenazas para la salud pública que ha tenido que afrontar el mundo. Mata a más de 7 millones de personas al año, de las cuales más de 6 millones son consumidores directos y alrededor de 890 mil  son no fumadores expuestos al humo ajeno. Casi el 80% de los más de mil millones de fumadores que hay en el mundo viven en países de ingresos bajos o medios, donde es mayor la carga de morbilidad y mortalidad asociada al tabaco. Los consumidores de tabaco que mueren prematuramente privan a sus familias de ingresos, aumentan el costo de la atención sanitaria y dificultan el desarrollo económico. Datos disponibles en:</w:t>
      </w:r>
      <w:r w:rsidRPr="00A534BF">
        <w:rPr>
          <w:rFonts w:ascii="Times New Roman" w:hAnsi="Times New Roman" w:cs="Times New Roman"/>
          <w:sz w:val="20"/>
          <w:szCs w:val="20"/>
          <w:lang w:val="es-ES"/>
        </w:rPr>
        <w:t xml:space="preserve"> </w:t>
      </w:r>
      <w:hyperlink r:id="rId3" w:history="1">
        <w:r w:rsidRPr="00A534BF">
          <w:rPr>
            <w:rStyle w:val="Hipervnculo"/>
            <w:rFonts w:ascii="Times New Roman" w:hAnsi="Times New Roman" w:cs="Times New Roman"/>
            <w:sz w:val="20"/>
            <w:szCs w:val="20"/>
            <w:lang w:val="es-AR"/>
          </w:rPr>
          <w:t>http://www.who.int/es/news-room/fact-sheets/detail/tobacco</w:t>
        </w:r>
      </w:hyperlink>
      <w:r w:rsidRPr="00A534BF">
        <w:rPr>
          <w:rFonts w:ascii="Times New Roman" w:hAnsi="Times New Roman" w:cs="Times New Roman"/>
          <w:sz w:val="20"/>
          <w:szCs w:val="20"/>
          <w:lang w:val="es-AR"/>
        </w:rPr>
        <w:t>. Acceso junio de 2018.</w:t>
      </w:r>
    </w:p>
  </w:footnote>
  <w:footnote w:id="5">
    <w:p w14:paraId="3300F100" w14:textId="425DB97E" w:rsidR="00AF652C" w:rsidRPr="00A534BF" w:rsidRDefault="00AF652C" w:rsidP="00A819BF">
      <w:pPr>
        <w:autoSpaceDE w:val="0"/>
        <w:autoSpaceDN w:val="0"/>
        <w:adjustRightInd w:val="0"/>
        <w:spacing w:after="0" w:line="240" w:lineRule="auto"/>
        <w:jc w:val="both"/>
        <w:rPr>
          <w:rFonts w:ascii="Times New Roman" w:hAnsi="Times New Roman" w:cs="Times New Roman"/>
          <w:sz w:val="20"/>
          <w:szCs w:val="20"/>
          <w:lang w:val="es-AR"/>
        </w:rPr>
      </w:pPr>
      <w:r w:rsidRPr="00A534BF">
        <w:rPr>
          <w:rStyle w:val="Refdenotaalpie"/>
          <w:rFonts w:ascii="Times New Roman" w:hAnsi="Times New Roman" w:cs="Times New Roman"/>
          <w:sz w:val="20"/>
          <w:szCs w:val="20"/>
        </w:rPr>
        <w:footnoteRef/>
      </w:r>
      <w:r w:rsidRPr="00A534BF">
        <w:rPr>
          <w:rFonts w:ascii="Times New Roman" w:hAnsi="Times New Roman" w:cs="Times New Roman"/>
          <w:sz w:val="20"/>
          <w:szCs w:val="20"/>
          <w:lang w:val="es-ES"/>
        </w:rPr>
        <w:t xml:space="preserve"> </w:t>
      </w:r>
      <w:r w:rsidRPr="00A534BF">
        <w:rPr>
          <w:rFonts w:ascii="Times New Roman" w:hAnsi="Times New Roman" w:cs="Times New Roman"/>
          <w:sz w:val="20"/>
          <w:szCs w:val="20"/>
          <w:lang w:val="es-AR"/>
        </w:rPr>
        <w:t xml:space="preserve"> Parte expressiva de la poblaciõn mundial es vulnerable  a gastos catastroficos en salud debido a una ECNT,  lo que puede tener efectos empobrecedores  debido a los pagos medicos directos, o sea, los  que asume el propio paciente - . Ver: Enfermedades No Transmisibles y Desarrollo en la Región de</w:t>
      </w:r>
    </w:p>
    <w:p w14:paraId="17DA28F6" w14:textId="605E663E" w:rsidR="00AF652C" w:rsidRPr="00A534BF" w:rsidRDefault="00AF652C" w:rsidP="00A819BF">
      <w:pPr>
        <w:autoSpaceDE w:val="0"/>
        <w:autoSpaceDN w:val="0"/>
        <w:adjustRightInd w:val="0"/>
        <w:spacing w:after="0" w:line="240" w:lineRule="auto"/>
        <w:jc w:val="both"/>
        <w:rPr>
          <w:rFonts w:ascii="Times New Roman" w:hAnsi="Times New Roman" w:cs="Times New Roman"/>
          <w:sz w:val="20"/>
          <w:szCs w:val="20"/>
          <w:lang w:val="es-AR"/>
        </w:rPr>
      </w:pPr>
      <w:r w:rsidRPr="00A534BF">
        <w:rPr>
          <w:rFonts w:ascii="Times New Roman" w:hAnsi="Times New Roman" w:cs="Times New Roman"/>
          <w:sz w:val="20"/>
          <w:szCs w:val="20"/>
          <w:lang w:val="es-AR"/>
        </w:rPr>
        <w:t xml:space="preserve">las Américas: Informe del Grupo de Estudio sobre Planificación Estratégica de las Enfermedades NoTransmisibles En Las Américas Ver: </w:t>
      </w:r>
      <w:hyperlink r:id="rId4" w:history="1">
        <w:r w:rsidRPr="00A534BF">
          <w:rPr>
            <w:rStyle w:val="Hipervnculo"/>
            <w:rFonts w:ascii="Times New Roman" w:hAnsi="Times New Roman" w:cs="Times New Roman"/>
            <w:sz w:val="20"/>
            <w:szCs w:val="20"/>
            <w:lang w:val="es-AR"/>
          </w:rPr>
          <w:t>https://www.paho.org/hq/dmdocuments/2015/informe-grupo-tag3-indicadores-desarrollo-2013.pdf</w:t>
        </w:r>
      </w:hyperlink>
      <w:r w:rsidRPr="00A534BF">
        <w:rPr>
          <w:rFonts w:ascii="Times New Roman" w:hAnsi="Times New Roman" w:cs="Times New Roman"/>
          <w:sz w:val="20"/>
          <w:szCs w:val="20"/>
          <w:lang w:val="es-AR"/>
        </w:rPr>
        <w:t>. Acceso: Jun.2018</w:t>
      </w:r>
    </w:p>
  </w:footnote>
  <w:footnote w:id="6">
    <w:p w14:paraId="6E3601BC" w14:textId="2BF76BAF" w:rsidR="00AF652C" w:rsidRPr="00A534BF" w:rsidRDefault="00AF652C" w:rsidP="00A819BF">
      <w:pPr>
        <w:pStyle w:val="Sinespaciado"/>
        <w:jc w:val="both"/>
        <w:rPr>
          <w:rFonts w:ascii="Times New Roman" w:hAnsi="Times New Roman" w:cs="Times New Roman"/>
          <w:sz w:val="20"/>
          <w:szCs w:val="20"/>
          <w:lang w:val="es-AR"/>
        </w:rPr>
      </w:pPr>
      <w:r w:rsidRPr="00A534BF">
        <w:rPr>
          <w:rFonts w:ascii="Times New Roman" w:hAnsi="Times New Roman" w:cs="Times New Roman"/>
          <w:sz w:val="20"/>
          <w:szCs w:val="20"/>
          <w:vertAlign w:val="superscript"/>
          <w:lang w:val="es-AR"/>
        </w:rPr>
        <w:footnoteRef/>
      </w:r>
      <w:r w:rsidRPr="00A534BF">
        <w:rPr>
          <w:rFonts w:ascii="Times New Roman" w:hAnsi="Times New Roman" w:cs="Times New Roman"/>
          <w:sz w:val="20"/>
          <w:szCs w:val="20"/>
          <w:lang w:val="es-AR"/>
        </w:rPr>
        <w:t xml:space="preserve"> La resolución de la Asamblea General </w:t>
      </w:r>
      <w:hyperlink r:id="rId5" w:history="1">
        <w:r w:rsidRPr="00A534BF">
          <w:rPr>
            <w:rFonts w:ascii="Times New Roman" w:hAnsi="Times New Roman" w:cs="Times New Roman"/>
            <w:sz w:val="20"/>
            <w:szCs w:val="20"/>
            <w:lang w:val="es-AR"/>
          </w:rPr>
          <w:t>A/RES/64/265</w:t>
        </w:r>
      </w:hyperlink>
      <w:r w:rsidRPr="00A534BF">
        <w:rPr>
          <w:rFonts w:ascii="Times New Roman" w:hAnsi="Times New Roman" w:cs="Times New Roman"/>
          <w:sz w:val="20"/>
          <w:szCs w:val="20"/>
          <w:lang w:val="es-AR"/>
        </w:rPr>
        <w:t xml:space="preserve"> , aprobada el 13 de mayo de 2010, decidió convocar una reunión de alto nivel de la Asamblea General, con la participación de Jefes de Estado y de Gobierno, sobre la prevención y el control de las </w:t>
      </w:r>
      <w:proofErr w:type="gramStart"/>
      <w:r w:rsidRPr="00A534BF">
        <w:rPr>
          <w:rFonts w:ascii="Times New Roman" w:hAnsi="Times New Roman" w:cs="Times New Roman"/>
          <w:sz w:val="20"/>
          <w:szCs w:val="20"/>
          <w:lang w:val="es-AR"/>
        </w:rPr>
        <w:t>ECNT  y</w:t>
      </w:r>
      <w:proofErr w:type="gramEnd"/>
      <w:r w:rsidRPr="00A534BF">
        <w:rPr>
          <w:rFonts w:ascii="Times New Roman" w:hAnsi="Times New Roman" w:cs="Times New Roman"/>
          <w:sz w:val="20"/>
          <w:szCs w:val="20"/>
          <w:lang w:val="es-AR"/>
        </w:rPr>
        <w:t xml:space="preserve"> que se celebró el 19 de septiembre de 2011. Esta resolución fue presentada por Trinidad y Tabago, en nombre de la Comunidad del Caribe (CARICOM) y fue patrocinada por más de 100 países. Decide también celebrar consultas sobre el alcance, las modalidades, el formato y la organización de la mencionada reunión de alto </w:t>
      </w:r>
      <w:proofErr w:type="spellStart"/>
      <w:r w:rsidRPr="00A534BF">
        <w:rPr>
          <w:rFonts w:ascii="Times New Roman" w:hAnsi="Times New Roman" w:cs="Times New Roman"/>
          <w:sz w:val="20"/>
          <w:szCs w:val="20"/>
          <w:lang w:val="es-AR"/>
        </w:rPr>
        <w:t>nivel.Ver</w:t>
      </w:r>
      <w:proofErr w:type="spellEnd"/>
      <w:r w:rsidRPr="00A534BF">
        <w:rPr>
          <w:rFonts w:ascii="Times New Roman" w:hAnsi="Times New Roman" w:cs="Times New Roman"/>
          <w:sz w:val="20"/>
          <w:szCs w:val="20"/>
          <w:lang w:val="es-AR"/>
        </w:rPr>
        <w:t xml:space="preserve">: </w:t>
      </w:r>
      <w:hyperlink r:id="rId6" w:history="1">
        <w:r w:rsidRPr="00A534BF">
          <w:rPr>
            <w:rStyle w:val="Hipervnculo"/>
            <w:rFonts w:ascii="Times New Roman" w:hAnsi="Times New Roman" w:cs="Times New Roman"/>
            <w:sz w:val="20"/>
            <w:szCs w:val="20"/>
            <w:lang w:val="es-AR"/>
          </w:rPr>
          <w:t>http://www.un.org/es/ga/ncdmeeting2011/background.shtml</w:t>
        </w:r>
      </w:hyperlink>
      <w:r w:rsidRPr="00A534BF">
        <w:rPr>
          <w:rFonts w:ascii="Times New Roman" w:hAnsi="Times New Roman" w:cs="Times New Roman"/>
          <w:sz w:val="20"/>
          <w:szCs w:val="20"/>
          <w:lang w:val="es-AR"/>
        </w:rPr>
        <w:t>. Acceso: Jun, 2018</w:t>
      </w:r>
    </w:p>
  </w:footnote>
  <w:footnote w:id="7">
    <w:p w14:paraId="631D1EAE" w14:textId="77777777" w:rsidR="00AF652C" w:rsidRPr="00A534BF" w:rsidRDefault="00AF652C" w:rsidP="00A819BF">
      <w:pPr>
        <w:pStyle w:val="Sinespaciado"/>
        <w:jc w:val="both"/>
        <w:rPr>
          <w:rFonts w:ascii="Times New Roman" w:hAnsi="Times New Roman" w:cs="Times New Roman"/>
          <w:sz w:val="20"/>
          <w:szCs w:val="20"/>
          <w:lang w:val="es-AR"/>
        </w:rPr>
      </w:pPr>
      <w:r w:rsidRPr="00A534BF">
        <w:rPr>
          <w:rStyle w:val="Refdenotaalpie"/>
          <w:rFonts w:ascii="Times New Roman" w:hAnsi="Times New Roman" w:cs="Times New Roman"/>
          <w:sz w:val="20"/>
          <w:szCs w:val="20"/>
          <w:lang w:val="es-AR"/>
        </w:rPr>
        <w:footnoteRef/>
      </w:r>
      <w:r w:rsidRPr="00A534BF">
        <w:rPr>
          <w:rFonts w:ascii="Times New Roman" w:hAnsi="Times New Roman" w:cs="Times New Roman"/>
          <w:sz w:val="20"/>
          <w:szCs w:val="20"/>
          <w:lang w:val="es-AR"/>
        </w:rPr>
        <w:t xml:space="preserve"> Ver OMS . Plan de Acción  Mundial para la Prevención y el Control de las Efnfermedades No Transmisibles 2013-2020.  </w:t>
      </w:r>
    </w:p>
  </w:footnote>
  <w:footnote w:id="8">
    <w:p w14:paraId="6F2EDF43" w14:textId="77777777" w:rsidR="00AF652C" w:rsidRPr="00A534BF" w:rsidRDefault="00AF652C" w:rsidP="00A819BF">
      <w:pPr>
        <w:pStyle w:val="Sinespaciado"/>
        <w:jc w:val="both"/>
        <w:rPr>
          <w:rFonts w:ascii="Times New Roman" w:hAnsi="Times New Roman" w:cs="Times New Roman"/>
          <w:sz w:val="20"/>
          <w:szCs w:val="20"/>
          <w:lang w:val="es-AR"/>
        </w:rPr>
      </w:pPr>
      <w:r w:rsidRPr="00A534BF">
        <w:rPr>
          <w:rStyle w:val="Refdenotaalpie"/>
          <w:rFonts w:ascii="Times New Roman" w:hAnsi="Times New Roman" w:cs="Times New Roman"/>
          <w:sz w:val="20"/>
          <w:szCs w:val="20"/>
          <w:lang w:val="es-AR"/>
        </w:rPr>
        <w:footnoteRef/>
      </w:r>
      <w:r w:rsidRPr="00A534BF">
        <w:rPr>
          <w:rFonts w:ascii="Times New Roman" w:hAnsi="Times New Roman" w:cs="Times New Roman"/>
          <w:sz w:val="20"/>
          <w:szCs w:val="20"/>
          <w:lang w:val="es-AR"/>
        </w:rPr>
        <w:t xml:space="preserve"> Se nombraro cinco representantes para dirigir la Comisiónn, así como 21 comisionados elegidos entre personas eminentes com experiência. De los Estados miembros del MERCOSUR, participaron representantes de dos países: el Presidente el Dr. Tabaré Vázquez of Uruguay oficio como Co Presidente y el Ministro de Salud de la República Argentina, Dr. Adolfo Rubinstein.  </w:t>
      </w:r>
    </w:p>
  </w:footnote>
  <w:footnote w:id="9">
    <w:p w14:paraId="053AB3A1" w14:textId="54752DBD" w:rsidR="00AF652C" w:rsidRPr="00A534BF" w:rsidRDefault="00AF652C" w:rsidP="00A819BF">
      <w:pPr>
        <w:pStyle w:val="Textonotapie"/>
        <w:jc w:val="both"/>
        <w:rPr>
          <w:rFonts w:ascii="Times New Roman" w:hAnsi="Times New Roman" w:cs="Times New Roman"/>
          <w:lang w:val="es-ES"/>
        </w:rPr>
      </w:pPr>
      <w:r w:rsidRPr="00A534BF">
        <w:rPr>
          <w:rStyle w:val="Refdenotaalpie"/>
          <w:rFonts w:ascii="Times New Roman" w:hAnsi="Times New Roman" w:cs="Times New Roman"/>
        </w:rPr>
        <w:footnoteRef/>
      </w:r>
      <w:r w:rsidRPr="00A534BF">
        <w:rPr>
          <w:rFonts w:ascii="Times New Roman" w:hAnsi="Times New Roman" w:cs="Times New Roman"/>
          <w:lang w:val="es-ES"/>
        </w:rPr>
        <w:t xml:space="preserve"> Ver OMS (2018) Informe de la Comisión Independiente de Alto Nivel de  la OMS sobre Enfermedades No Transmisibles. “</w:t>
      </w:r>
      <w:r w:rsidRPr="00A534BF">
        <w:rPr>
          <w:rFonts w:ascii="Times New Roman" w:hAnsi="Times New Roman" w:cs="Times New Roman"/>
          <w:i/>
          <w:lang w:val="es-ES"/>
        </w:rPr>
        <w:t xml:space="preserve">Es Hora de Actuar”. </w:t>
      </w:r>
      <w:r w:rsidRPr="00A534BF">
        <w:rPr>
          <w:rFonts w:ascii="Times New Roman" w:hAnsi="Times New Roman" w:cs="Times New Roman"/>
          <w:lang w:val="es-ES"/>
        </w:rPr>
        <w:t xml:space="preserve">ISBN 978-92-4-351416-1. OMS, Ginebra, 2018. Disponible en: </w:t>
      </w:r>
      <w:hyperlink r:id="rId7" w:history="1">
        <w:r w:rsidRPr="00A534BF">
          <w:rPr>
            <w:rStyle w:val="Hipervnculo"/>
            <w:rFonts w:ascii="Times New Roman" w:hAnsi="Times New Roman" w:cs="Times New Roman"/>
            <w:lang w:val="es-ES"/>
          </w:rPr>
          <w:t>http://apps.who.int/iris/bitstream/handle/10665/272712/9789243514161-spa.pdf?ua=1</w:t>
        </w:r>
      </w:hyperlink>
      <w:r w:rsidRPr="00A534BF">
        <w:rPr>
          <w:rFonts w:ascii="Times New Roman" w:hAnsi="Times New Roman" w:cs="Times New Roman"/>
          <w:lang w:val="es-ES"/>
        </w:rPr>
        <w:t>; Acceso: Jun.2018</w:t>
      </w:r>
    </w:p>
  </w:footnote>
  <w:footnote w:id="10">
    <w:p w14:paraId="7437F650" w14:textId="77777777" w:rsidR="00AF652C" w:rsidRPr="00A534BF" w:rsidRDefault="00AF652C" w:rsidP="00A819BF">
      <w:pPr>
        <w:pStyle w:val="Sinespaciado"/>
        <w:jc w:val="both"/>
        <w:rPr>
          <w:rFonts w:ascii="Times New Roman" w:hAnsi="Times New Roman" w:cs="Times New Roman"/>
          <w:sz w:val="20"/>
          <w:szCs w:val="20"/>
          <w:lang w:val="es-AR"/>
        </w:rPr>
      </w:pPr>
      <w:r w:rsidRPr="00A534BF">
        <w:rPr>
          <w:rFonts w:ascii="Times New Roman" w:hAnsi="Times New Roman" w:cs="Times New Roman"/>
          <w:sz w:val="20"/>
          <w:szCs w:val="20"/>
          <w:vertAlign w:val="superscript"/>
          <w:lang w:val="es-AR"/>
        </w:rPr>
        <w:footnoteRef/>
      </w:r>
      <w:r w:rsidRPr="00A534BF">
        <w:rPr>
          <w:rFonts w:ascii="Times New Roman" w:hAnsi="Times New Roman" w:cs="Times New Roman"/>
          <w:sz w:val="20"/>
          <w:szCs w:val="20"/>
          <w:vertAlign w:val="superscript"/>
          <w:lang w:val="es-AR"/>
        </w:rPr>
        <w:t xml:space="preserve"> </w:t>
      </w:r>
      <w:r w:rsidRPr="00A534BF">
        <w:rPr>
          <w:rFonts w:ascii="Times New Roman" w:hAnsi="Times New Roman" w:cs="Times New Roman"/>
          <w:sz w:val="20"/>
          <w:szCs w:val="20"/>
          <w:lang w:val="es-AR"/>
        </w:rPr>
        <w:t>Ver CEPAL (2014)- UNASUR: Un espacio de Cooperación e Integración para el Desarrollo. Santiago, Chile 2014.</w:t>
      </w:r>
    </w:p>
  </w:footnote>
  <w:footnote w:id="11">
    <w:p w14:paraId="21F14756" w14:textId="35409624" w:rsidR="00AF652C" w:rsidRPr="00A534BF" w:rsidRDefault="00AF652C" w:rsidP="00A534BF">
      <w:pPr>
        <w:pStyle w:val="Sinespaciado"/>
        <w:rPr>
          <w:rFonts w:ascii="Times New Roman" w:hAnsi="Times New Roman" w:cs="Times New Roman"/>
          <w:sz w:val="20"/>
          <w:szCs w:val="20"/>
          <w:lang w:val="es-ES_tradnl"/>
        </w:rPr>
      </w:pPr>
      <w:r w:rsidRPr="00A534BF">
        <w:rPr>
          <w:rStyle w:val="Refdenotaalpie"/>
          <w:rFonts w:ascii="Times New Roman" w:hAnsi="Times New Roman" w:cs="Times New Roman"/>
          <w:sz w:val="20"/>
          <w:szCs w:val="20"/>
          <w:lang w:val="es-ES_tradnl"/>
        </w:rPr>
        <w:footnoteRef/>
      </w:r>
      <w:r w:rsidRPr="00A534BF">
        <w:rPr>
          <w:rFonts w:ascii="Times New Roman" w:hAnsi="Times New Roman" w:cs="Times New Roman"/>
          <w:sz w:val="20"/>
          <w:szCs w:val="20"/>
          <w:shd w:val="clear" w:color="auto" w:fill="FFFFFF"/>
          <w:lang w:val="es-ES_tradnl"/>
        </w:rPr>
        <w:t xml:space="preserve"> Ver OPS (2017) Informe de Salud de las Américas 2017. </w:t>
      </w:r>
      <w:proofErr w:type="spellStart"/>
      <w:r w:rsidRPr="00A534BF">
        <w:rPr>
          <w:rFonts w:ascii="Times New Roman" w:hAnsi="Times New Roman" w:cs="Times New Roman"/>
          <w:sz w:val="20"/>
          <w:szCs w:val="20"/>
          <w:shd w:val="clear" w:color="auto" w:fill="FFFFFF"/>
          <w:lang w:val="es-ES_tradnl"/>
        </w:rPr>
        <w:t>Op</w:t>
      </w:r>
      <w:proofErr w:type="spellEnd"/>
      <w:r w:rsidRPr="00A534BF">
        <w:rPr>
          <w:rFonts w:ascii="Times New Roman" w:hAnsi="Times New Roman" w:cs="Times New Roman"/>
          <w:sz w:val="20"/>
          <w:szCs w:val="20"/>
          <w:shd w:val="clear" w:color="auto" w:fill="FFFFFF"/>
          <w:lang w:val="es-ES_tradnl"/>
        </w:rPr>
        <w:t>. Cit.</w:t>
      </w:r>
    </w:p>
  </w:footnote>
  <w:footnote w:id="12">
    <w:p w14:paraId="404A73DA" w14:textId="77777777" w:rsidR="00AF652C" w:rsidRPr="00A534BF" w:rsidRDefault="00AF652C" w:rsidP="00A534BF">
      <w:pPr>
        <w:pStyle w:val="Sinespaciado"/>
        <w:rPr>
          <w:rFonts w:ascii="Times New Roman" w:hAnsi="Times New Roman" w:cs="Times New Roman"/>
          <w:sz w:val="20"/>
          <w:szCs w:val="20"/>
          <w:lang w:val="uz-Cyrl-UZ"/>
        </w:rPr>
      </w:pPr>
      <w:r w:rsidRPr="00A534BF">
        <w:rPr>
          <w:rStyle w:val="Refdenotaalpie"/>
          <w:rFonts w:ascii="Times New Roman" w:hAnsi="Times New Roman" w:cs="Times New Roman"/>
          <w:sz w:val="20"/>
          <w:szCs w:val="20"/>
        </w:rPr>
        <w:footnoteRef/>
      </w:r>
      <w:r w:rsidRPr="00A534BF">
        <w:rPr>
          <w:rFonts w:ascii="Times New Roman" w:hAnsi="Times New Roman" w:cs="Times New Roman"/>
          <w:sz w:val="20"/>
          <w:szCs w:val="20"/>
          <w:lang w:val="uz-Cyrl-UZ"/>
        </w:rPr>
        <w:t xml:space="preserve"> Ver FAO/OPS (2017). “</w:t>
      </w:r>
      <w:r w:rsidRPr="00A534BF">
        <w:rPr>
          <w:rFonts w:ascii="Times New Roman" w:hAnsi="Times New Roman" w:cs="Times New Roman"/>
          <w:i/>
          <w:sz w:val="20"/>
          <w:szCs w:val="20"/>
          <w:lang w:val="uz-Cyrl-UZ"/>
        </w:rPr>
        <w:t>El Panorama de la Seguridad Alimentaria y Nutricional de América Latina y el Caribe 2017</w:t>
      </w:r>
      <w:r w:rsidRPr="00A534BF">
        <w:rPr>
          <w:rFonts w:ascii="Times New Roman" w:hAnsi="Times New Roman" w:cs="Times New Roman"/>
          <w:sz w:val="20"/>
          <w:szCs w:val="20"/>
          <w:lang w:val="uz-Cyrl-UZ"/>
        </w:rPr>
        <w:t>”. Santiago de Chile, 2017.</w:t>
      </w:r>
    </w:p>
    <w:p w14:paraId="034B4239" w14:textId="77777777" w:rsidR="00AF652C" w:rsidRPr="00A534BF" w:rsidRDefault="00AF652C" w:rsidP="00A819BF">
      <w:pPr>
        <w:pStyle w:val="Textonotapie"/>
        <w:jc w:val="both"/>
        <w:rPr>
          <w:rFonts w:ascii="Times New Roman" w:hAnsi="Times New Roman" w:cs="Times New Roman"/>
          <w:lang w:val="uz-Cyrl-UZ"/>
        </w:rPr>
      </w:pPr>
      <w:r w:rsidRPr="00A534BF">
        <w:rPr>
          <w:rFonts w:ascii="Times New Roman" w:hAnsi="Times New Roman" w:cs="Times New Roman"/>
          <w:lang w:val="uz-Cyrl-UZ"/>
        </w:rPr>
        <w:t xml:space="preserve">Disponible en: </w:t>
      </w:r>
      <w:hyperlink r:id="rId8" w:history="1">
        <w:r w:rsidRPr="00A534BF">
          <w:rPr>
            <w:rStyle w:val="Hipervnculo"/>
            <w:rFonts w:ascii="Times New Roman" w:hAnsi="Times New Roman" w:cs="Times New Roman"/>
            <w:lang w:val="uz-Cyrl-UZ"/>
          </w:rPr>
          <w:t>http://iris.paho.org/xmlui/handle/123456789/34343</w:t>
        </w:r>
      </w:hyperlink>
      <w:r w:rsidRPr="00A534BF">
        <w:rPr>
          <w:rFonts w:ascii="Times New Roman" w:hAnsi="Times New Roman" w:cs="Times New Roman"/>
          <w:lang w:val="uz-Cyrl-UZ"/>
        </w:rPr>
        <w:t>. Acceso 20 de octubre de 2017.</w:t>
      </w:r>
    </w:p>
  </w:footnote>
  <w:footnote w:id="13">
    <w:p w14:paraId="793837E1" w14:textId="77777777" w:rsidR="00AF652C" w:rsidRPr="00A534BF" w:rsidRDefault="00AF652C" w:rsidP="00A819BF">
      <w:pPr>
        <w:pStyle w:val="Textonotapie"/>
        <w:jc w:val="both"/>
        <w:rPr>
          <w:rFonts w:ascii="Times New Roman" w:hAnsi="Times New Roman" w:cs="Times New Roman"/>
          <w:lang w:val="uz-Cyrl-UZ"/>
        </w:rPr>
      </w:pPr>
      <w:r w:rsidRPr="00A534BF">
        <w:rPr>
          <w:rStyle w:val="Refdenotaalpie"/>
          <w:rFonts w:ascii="Times New Roman" w:hAnsi="Times New Roman" w:cs="Times New Roman"/>
        </w:rPr>
        <w:footnoteRef/>
      </w:r>
      <w:r w:rsidRPr="00A534BF">
        <w:rPr>
          <w:rFonts w:ascii="Times New Roman" w:hAnsi="Times New Roman" w:cs="Times New Roman"/>
          <w:lang w:val="uz-Cyrl-UZ"/>
        </w:rPr>
        <w:t xml:space="preserve"> El acceso al tratamiento, la el diagnóstico y detección temprana de esta enfermedad para un tratamiento apropiado y el acceso a la innovación continúan siendo un gran desafío. </w:t>
      </w:r>
    </w:p>
  </w:footnote>
  <w:footnote w:id="14">
    <w:p w14:paraId="7CC4B543" w14:textId="4DEAD1BE" w:rsidR="00AF652C" w:rsidRPr="00A534BF" w:rsidRDefault="00AF652C" w:rsidP="00A819BF">
      <w:pPr>
        <w:pStyle w:val="Sinespaciado"/>
        <w:jc w:val="both"/>
        <w:rPr>
          <w:rFonts w:ascii="Times New Roman" w:hAnsi="Times New Roman" w:cs="Times New Roman"/>
          <w:sz w:val="20"/>
          <w:szCs w:val="20"/>
          <w:lang w:val="uz-Cyrl-UZ"/>
        </w:rPr>
      </w:pPr>
      <w:r w:rsidRPr="00A534BF">
        <w:rPr>
          <w:rStyle w:val="Refdenotaalpie"/>
          <w:rFonts w:ascii="Times New Roman" w:hAnsi="Times New Roman" w:cs="Times New Roman"/>
          <w:sz w:val="20"/>
          <w:szCs w:val="20"/>
        </w:rPr>
        <w:footnoteRef/>
      </w:r>
      <w:r w:rsidRPr="00A534BF">
        <w:rPr>
          <w:rFonts w:ascii="Times New Roman" w:hAnsi="Times New Roman" w:cs="Times New Roman"/>
          <w:sz w:val="20"/>
          <w:szCs w:val="20"/>
          <w:lang w:val="uz-Cyrl-UZ"/>
        </w:rPr>
        <w:t xml:space="preserve"> La resistencia de los bacilos de la tuberculosis a múltiples medicamentos (MDR-TB), aumentan la severidad de la enfermedad y el costo del tratamiento. La mejora en la detención de casos, armonización y protocolización de tratamientos como la investigación y desarrollo para la innovación de producción de nuevas vacunas y esquemas de tratamiento podría tener alto impacto, </w:t>
      </w:r>
      <w:r w:rsidRPr="00A534BF">
        <w:rPr>
          <w:rFonts w:ascii="Times New Roman" w:hAnsi="Times New Roman" w:cs="Times New Roman"/>
          <w:sz w:val="20"/>
          <w:szCs w:val="20"/>
          <w:lang w:val="es-ES"/>
        </w:rPr>
        <w:t>además</w:t>
      </w:r>
      <w:r w:rsidRPr="00A534BF">
        <w:rPr>
          <w:rFonts w:ascii="Times New Roman" w:hAnsi="Times New Roman" w:cs="Times New Roman"/>
          <w:sz w:val="20"/>
          <w:szCs w:val="20"/>
          <w:lang w:val="uz-Cyrl-UZ"/>
        </w:rPr>
        <w:t xml:space="preserve"> de la necesidad de priorizar el abordaje de los determinantes sociales de la enfermedad.</w:t>
      </w:r>
    </w:p>
  </w:footnote>
  <w:footnote w:id="15">
    <w:p w14:paraId="216ACC4B" w14:textId="77777777" w:rsidR="00AF652C" w:rsidRPr="00A534BF" w:rsidRDefault="00AF652C" w:rsidP="00A819BF">
      <w:pPr>
        <w:pStyle w:val="Textonotapie"/>
        <w:jc w:val="both"/>
        <w:rPr>
          <w:rFonts w:ascii="Times New Roman" w:hAnsi="Times New Roman" w:cs="Times New Roman"/>
          <w:lang w:val="uz-Cyrl-UZ"/>
        </w:rPr>
      </w:pPr>
      <w:r w:rsidRPr="00A534BF">
        <w:rPr>
          <w:rStyle w:val="Refdenotaalpie"/>
          <w:rFonts w:ascii="Times New Roman" w:hAnsi="Times New Roman" w:cs="Times New Roman"/>
        </w:rPr>
        <w:footnoteRef/>
      </w:r>
      <w:r w:rsidRPr="00A534BF">
        <w:rPr>
          <w:rFonts w:ascii="Times New Roman" w:hAnsi="Times New Roman" w:cs="Times New Roman"/>
          <w:lang w:val="uz-Cyrl-UZ"/>
        </w:rPr>
        <w:t xml:space="preserve"> La resistencia a los medicamentos anti-maláricos es un problema preocupante y porque no existe vacuna eficaz por lo que es importante el control vectorial.</w:t>
      </w:r>
    </w:p>
  </w:footnote>
  <w:footnote w:id="16">
    <w:p w14:paraId="192C23F4" w14:textId="447D5691" w:rsidR="00AF652C" w:rsidRPr="00A534BF" w:rsidRDefault="00AF652C" w:rsidP="00A819BF">
      <w:pPr>
        <w:pStyle w:val="Sinespaciado"/>
        <w:jc w:val="both"/>
        <w:rPr>
          <w:rFonts w:ascii="Times New Roman" w:hAnsi="Times New Roman" w:cs="Times New Roman"/>
          <w:sz w:val="20"/>
          <w:szCs w:val="20"/>
          <w:lang w:val="uz-Cyrl-UZ"/>
        </w:rPr>
      </w:pPr>
      <w:r w:rsidRPr="00A534BF">
        <w:rPr>
          <w:rStyle w:val="Refdenotaalpie"/>
          <w:rFonts w:ascii="Times New Roman" w:hAnsi="Times New Roman" w:cs="Times New Roman"/>
          <w:sz w:val="20"/>
          <w:szCs w:val="20"/>
        </w:rPr>
        <w:footnoteRef/>
      </w:r>
      <w:r w:rsidRPr="00A534BF">
        <w:rPr>
          <w:rFonts w:ascii="Times New Roman" w:hAnsi="Times New Roman" w:cs="Times New Roman"/>
          <w:sz w:val="20"/>
          <w:szCs w:val="20"/>
          <w:lang w:val="uz-Cyrl-UZ"/>
        </w:rPr>
        <w:t xml:space="preserve"> Por ejemplo, la sífilis congénita que podría ser erradicada de Sudamérica y de la región y que es tratada con un antibiótico de vieja data como la penicilina, aún cobra importante</w:t>
      </w:r>
      <w:r w:rsidRPr="00A534BF">
        <w:rPr>
          <w:rFonts w:ascii="Times New Roman" w:hAnsi="Times New Roman" w:cs="Times New Roman"/>
          <w:sz w:val="20"/>
          <w:szCs w:val="20"/>
          <w:lang w:val="es-ES"/>
        </w:rPr>
        <w:t xml:space="preserve"> número de </w:t>
      </w:r>
      <w:r w:rsidRPr="00A534BF">
        <w:rPr>
          <w:rFonts w:ascii="Times New Roman" w:hAnsi="Times New Roman" w:cs="Times New Roman"/>
          <w:sz w:val="20"/>
          <w:szCs w:val="20"/>
          <w:lang w:val="uz-Cyrl-UZ"/>
        </w:rPr>
        <w:t xml:space="preserve"> casos y la situación se agrava más por el desabastecimiento de este insumo. </w:t>
      </w:r>
    </w:p>
  </w:footnote>
  <w:footnote w:id="17">
    <w:p w14:paraId="4D6BFECA" w14:textId="04A2F166" w:rsidR="00AF652C" w:rsidRPr="00A534BF" w:rsidRDefault="00AF652C" w:rsidP="00A819BF">
      <w:pPr>
        <w:pStyle w:val="Sinespaciado"/>
        <w:jc w:val="both"/>
        <w:rPr>
          <w:rFonts w:ascii="Times New Roman" w:hAnsi="Times New Roman" w:cs="Times New Roman"/>
          <w:sz w:val="20"/>
          <w:szCs w:val="20"/>
          <w:lang w:val="uz-Cyrl-UZ"/>
        </w:rPr>
      </w:pPr>
      <w:r w:rsidRPr="00A534BF">
        <w:rPr>
          <w:rFonts w:ascii="Times New Roman" w:hAnsi="Times New Roman" w:cs="Times New Roman"/>
          <w:sz w:val="20"/>
          <w:szCs w:val="20"/>
          <w:vertAlign w:val="superscript"/>
        </w:rPr>
        <w:footnoteRef/>
      </w:r>
      <w:r w:rsidRPr="00A534BF">
        <w:rPr>
          <w:rFonts w:ascii="Times New Roman" w:hAnsi="Times New Roman" w:cs="Times New Roman"/>
          <w:sz w:val="20"/>
          <w:szCs w:val="20"/>
          <w:vertAlign w:val="superscript"/>
          <w:lang w:val="uz-Cyrl-UZ"/>
        </w:rPr>
        <w:t xml:space="preserve"> </w:t>
      </w:r>
      <w:r w:rsidRPr="00A534BF">
        <w:rPr>
          <w:rFonts w:ascii="Times New Roman" w:hAnsi="Times New Roman" w:cs="Times New Roman"/>
          <w:sz w:val="20"/>
          <w:szCs w:val="20"/>
          <w:lang w:val="uz-Cyrl-UZ"/>
        </w:rPr>
        <w:t>En la mayoría de los países del MERCOSUR, con raras excepciones</w:t>
      </w:r>
      <w:r w:rsidRPr="00A534BF">
        <w:rPr>
          <w:rFonts w:ascii="Times New Roman" w:hAnsi="Times New Roman" w:cs="Times New Roman"/>
          <w:sz w:val="20"/>
          <w:szCs w:val="20"/>
          <w:lang w:val="es-ES"/>
        </w:rPr>
        <w:t>, como</w:t>
      </w:r>
      <w:r w:rsidRPr="00A534BF">
        <w:rPr>
          <w:rFonts w:ascii="Times New Roman" w:hAnsi="Times New Roman" w:cs="Times New Roman"/>
          <w:sz w:val="20"/>
          <w:szCs w:val="20"/>
          <w:lang w:val="uz-Cyrl-UZ"/>
        </w:rPr>
        <w:t xml:space="preserve"> en Uruguay, ocurren brotes sistemáticos asociados a ciclos climáticos, que requieren hospitalización y tienen tasas considerables de letalidad. Estas tres enfermedades de transmisión vectorial, así como la aparición de</w:t>
      </w:r>
      <w:r w:rsidRPr="00A534BF">
        <w:rPr>
          <w:rFonts w:ascii="Times New Roman" w:hAnsi="Times New Roman" w:cs="Times New Roman"/>
          <w:sz w:val="20"/>
          <w:szCs w:val="20"/>
          <w:lang w:val="es-ES"/>
        </w:rPr>
        <w:t xml:space="preserve"> </w:t>
      </w:r>
      <w:r w:rsidRPr="00A534BF">
        <w:rPr>
          <w:rFonts w:ascii="Times New Roman" w:hAnsi="Times New Roman" w:cs="Times New Roman"/>
          <w:sz w:val="20"/>
          <w:szCs w:val="20"/>
          <w:lang w:val="uz-Cyrl-UZ"/>
        </w:rPr>
        <w:t>supuestos casos de la f</w:t>
      </w:r>
      <w:r>
        <w:rPr>
          <w:rFonts w:ascii="Times New Roman" w:hAnsi="Times New Roman" w:cs="Times New Roman"/>
          <w:sz w:val="20"/>
          <w:szCs w:val="20"/>
          <w:lang w:val="uz-Cyrl-UZ"/>
        </w:rPr>
        <w:t xml:space="preserve">iebre del Oeste del Nilo </w:t>
      </w:r>
      <w:r w:rsidRPr="00A534BF">
        <w:rPr>
          <w:rFonts w:ascii="Times New Roman" w:hAnsi="Times New Roman" w:cs="Times New Roman"/>
          <w:sz w:val="20"/>
          <w:szCs w:val="20"/>
          <w:lang w:val="uz-Cyrl-UZ"/>
        </w:rPr>
        <w:t>en Brasil</w:t>
      </w:r>
      <w:r w:rsidRPr="00A534BF">
        <w:rPr>
          <w:rFonts w:ascii="Times New Roman" w:hAnsi="Times New Roman" w:cs="Times New Roman"/>
          <w:sz w:val="20"/>
          <w:szCs w:val="20"/>
          <w:lang w:val="es-ES"/>
        </w:rPr>
        <w:t>,</w:t>
      </w:r>
      <w:r w:rsidRPr="00A534BF">
        <w:rPr>
          <w:rFonts w:ascii="Times New Roman" w:hAnsi="Times New Roman" w:cs="Times New Roman"/>
          <w:sz w:val="20"/>
          <w:szCs w:val="20"/>
          <w:lang w:val="uz-Cyrl-UZ"/>
        </w:rPr>
        <w:t xml:space="preserve"> constituyen parte de un conjunto de moléstias que emergen y re emergen, vinculadas a un contexto de pobreza, inequidades, barrera de acceso a los servicios, desprotección social, desempleo y cambios vinculados con el ecosistema producidos por los modos de producción</w:t>
      </w:r>
      <w:r w:rsidRPr="00A534BF">
        <w:rPr>
          <w:rFonts w:ascii="Times New Roman" w:hAnsi="Times New Roman" w:cs="Times New Roman"/>
          <w:sz w:val="20"/>
          <w:szCs w:val="20"/>
          <w:lang w:val="es-ES"/>
        </w:rPr>
        <w:t>, a ejemplo d</w:t>
      </w:r>
      <w:r w:rsidRPr="00A534BF">
        <w:rPr>
          <w:rFonts w:ascii="Times New Roman" w:hAnsi="Times New Roman" w:cs="Times New Roman"/>
          <w:sz w:val="20"/>
          <w:szCs w:val="20"/>
          <w:lang w:val="uz-Cyrl-UZ"/>
        </w:rPr>
        <w:t>el agro negocio</w:t>
      </w:r>
      <w:r w:rsidRPr="00A534BF">
        <w:rPr>
          <w:rFonts w:ascii="Times New Roman" w:hAnsi="Times New Roman" w:cs="Times New Roman"/>
          <w:sz w:val="20"/>
          <w:szCs w:val="20"/>
          <w:lang w:val="es-ES"/>
        </w:rPr>
        <w:t>,</w:t>
      </w:r>
      <w:r w:rsidRPr="00A534BF">
        <w:rPr>
          <w:rFonts w:ascii="Times New Roman" w:hAnsi="Times New Roman" w:cs="Times New Roman"/>
          <w:sz w:val="20"/>
          <w:szCs w:val="20"/>
          <w:lang w:val="uz-Cyrl-UZ"/>
        </w:rPr>
        <w:t xml:space="preserve"> , requiriendo una mirada </w:t>
      </w:r>
      <w:r w:rsidRPr="00A534BF">
        <w:rPr>
          <w:rFonts w:ascii="Times New Roman" w:hAnsi="Times New Roman" w:cs="Times New Roman"/>
          <w:sz w:val="20"/>
          <w:szCs w:val="20"/>
          <w:lang w:val="es-ES"/>
        </w:rPr>
        <w:t>cuanto a sus</w:t>
      </w:r>
      <w:r w:rsidRPr="00A534BF">
        <w:rPr>
          <w:rFonts w:ascii="Times New Roman" w:hAnsi="Times New Roman" w:cs="Times New Roman"/>
          <w:sz w:val="20"/>
          <w:szCs w:val="20"/>
          <w:lang w:val="uz-Cyrl-UZ"/>
        </w:rPr>
        <w:t xml:space="preserve">  determinantes sociales</w:t>
      </w:r>
      <w:r w:rsidRPr="00A534BF">
        <w:rPr>
          <w:rFonts w:ascii="Times New Roman" w:hAnsi="Times New Roman" w:cs="Times New Roman"/>
          <w:sz w:val="20"/>
          <w:szCs w:val="20"/>
          <w:lang w:val="es-ES"/>
        </w:rPr>
        <w:t>,</w:t>
      </w:r>
      <w:r w:rsidRPr="00A534BF">
        <w:rPr>
          <w:rFonts w:ascii="Times New Roman" w:hAnsi="Times New Roman" w:cs="Times New Roman"/>
          <w:sz w:val="20"/>
          <w:szCs w:val="20"/>
          <w:lang w:val="uz-Cyrl-UZ"/>
        </w:rPr>
        <w:t xml:space="preserve"> </w:t>
      </w:r>
      <w:r w:rsidRPr="00A534BF">
        <w:rPr>
          <w:rFonts w:ascii="Times New Roman" w:hAnsi="Times New Roman" w:cs="Times New Roman"/>
          <w:sz w:val="20"/>
          <w:szCs w:val="20"/>
          <w:lang w:val="es-ES"/>
        </w:rPr>
        <w:t>visando</w:t>
      </w:r>
      <w:r w:rsidRPr="00A534BF">
        <w:rPr>
          <w:rFonts w:ascii="Times New Roman" w:hAnsi="Times New Roman" w:cs="Times New Roman"/>
          <w:sz w:val="20"/>
          <w:szCs w:val="20"/>
          <w:lang w:val="uz-Cyrl-UZ"/>
        </w:rPr>
        <w:t xml:space="preserve"> prevenir y controlar este tipo de enfermedad. </w:t>
      </w:r>
    </w:p>
  </w:footnote>
  <w:footnote w:id="18">
    <w:p w14:paraId="431A593C" w14:textId="0219C34E" w:rsidR="00AF652C" w:rsidRPr="00A534BF" w:rsidRDefault="00AF652C" w:rsidP="00A819BF">
      <w:pPr>
        <w:pStyle w:val="Textonotapie"/>
        <w:jc w:val="both"/>
        <w:rPr>
          <w:rFonts w:ascii="Times New Roman" w:hAnsi="Times New Roman" w:cs="Times New Roman"/>
          <w:lang w:val="uz-Cyrl-UZ"/>
        </w:rPr>
      </w:pPr>
      <w:r w:rsidRPr="00A534BF">
        <w:rPr>
          <w:rStyle w:val="Refdenotaalpie"/>
          <w:rFonts w:ascii="Times New Roman" w:hAnsi="Times New Roman" w:cs="Times New Roman"/>
        </w:rPr>
        <w:footnoteRef/>
      </w:r>
      <w:r w:rsidRPr="00A534BF">
        <w:rPr>
          <w:rFonts w:ascii="Times New Roman" w:hAnsi="Times New Roman" w:cs="Times New Roman"/>
          <w:lang w:val="uz-Cyrl-UZ"/>
        </w:rPr>
        <w:t xml:space="preserve"> </w:t>
      </w:r>
      <w:r w:rsidRPr="00A534BF">
        <w:rPr>
          <w:rFonts w:ascii="Times New Roman" w:hAnsi="Times New Roman" w:cs="Times New Roman"/>
          <w:lang w:val="uz-Cyrl-UZ"/>
        </w:rPr>
        <w:t>Ver OPS (2017)</w:t>
      </w:r>
      <w:r w:rsidRPr="006963EF">
        <w:rPr>
          <w:rFonts w:ascii="Times New Roman" w:hAnsi="Times New Roman" w:cs="Times New Roman"/>
          <w:lang w:val="es-PY"/>
        </w:rPr>
        <w:t>.</w:t>
      </w:r>
      <w:r w:rsidRPr="00A534BF">
        <w:rPr>
          <w:rFonts w:ascii="Times New Roman" w:hAnsi="Times New Roman" w:cs="Times New Roman"/>
          <w:lang w:val="uz-Cyrl-UZ"/>
        </w:rPr>
        <w:t xml:space="preserve"> Informe de Salud en las América 2017. </w:t>
      </w:r>
      <w:r w:rsidRPr="00A534BF">
        <w:rPr>
          <w:rFonts w:ascii="Times New Roman" w:hAnsi="Times New Roman" w:cs="Times New Roman"/>
          <w:lang w:val="uz-Cyrl-UZ"/>
        </w:rPr>
        <w:t xml:space="preserve">Disponible en: </w:t>
      </w:r>
      <w:r w:rsidRPr="00A534BF">
        <w:rPr>
          <w:rFonts w:ascii="Times New Roman" w:hAnsi="Times New Roman" w:cs="Times New Roman"/>
          <w:lang w:val="uz-Cyrl-UZ"/>
        </w:rPr>
        <w:fldChar w:fldCharType="begin"/>
      </w:r>
      <w:r w:rsidRPr="00A534BF">
        <w:rPr>
          <w:rFonts w:ascii="Times New Roman" w:hAnsi="Times New Roman" w:cs="Times New Roman"/>
          <w:lang w:val="uz-Cyrl-UZ"/>
        </w:rPr>
        <w:instrText xml:space="preserve"> HYPERLINK "http://www.paho.org/salud-en-las-americas-2017/?post_type=post_t_es&amp;p=1358&amp;lang=es" </w:instrText>
      </w:r>
      <w:r w:rsidRPr="00A534BF">
        <w:rPr>
          <w:rFonts w:ascii="Times New Roman" w:hAnsi="Times New Roman" w:cs="Times New Roman"/>
          <w:lang w:val="uz-Cyrl-UZ"/>
        </w:rPr>
        <w:fldChar w:fldCharType="separate"/>
      </w:r>
      <w:r w:rsidRPr="00A534BF">
        <w:rPr>
          <w:rFonts w:ascii="Times New Roman" w:hAnsi="Times New Roman" w:cs="Times New Roman"/>
          <w:lang w:val="uz-Cyrl-UZ"/>
        </w:rPr>
        <w:t>http://www.paho.org/salud-en-las-americas-2017/?post_type=post_t_es&amp;p=1358&amp;lang=es</w:t>
      </w:r>
      <w:r w:rsidRPr="00A534BF">
        <w:rPr>
          <w:rFonts w:ascii="Times New Roman" w:hAnsi="Times New Roman" w:cs="Times New Roman"/>
          <w:lang w:val="uz-Cyrl-UZ"/>
        </w:rPr>
        <w:fldChar w:fldCharType="end"/>
      </w:r>
      <w:r w:rsidRPr="00A534BF">
        <w:rPr>
          <w:rFonts w:ascii="Times New Roman" w:hAnsi="Times New Roman" w:cs="Times New Roman"/>
          <w:lang w:val="es-ES"/>
        </w:rPr>
        <w:t xml:space="preserve"> </w:t>
      </w:r>
      <w:r w:rsidRPr="00A534BF">
        <w:rPr>
          <w:rFonts w:ascii="Times New Roman" w:hAnsi="Times New Roman" w:cs="Times New Roman"/>
          <w:lang w:val="uz-Cyrl-UZ"/>
        </w:rPr>
        <w:t xml:space="preserve"> Acceso</w:t>
      </w:r>
      <w:r w:rsidRPr="00A534BF">
        <w:rPr>
          <w:rFonts w:ascii="Times New Roman" w:hAnsi="Times New Roman" w:cs="Times New Roman"/>
          <w:lang w:val="es-ES"/>
        </w:rPr>
        <w:t>:</w:t>
      </w:r>
      <w:r w:rsidRPr="00A534BF">
        <w:rPr>
          <w:rFonts w:ascii="Times New Roman" w:hAnsi="Times New Roman" w:cs="Times New Roman"/>
          <w:lang w:val="uz-Cyrl-UZ"/>
        </w:rPr>
        <w:t xml:space="preserve"> 25 de septiembre de 2017.</w:t>
      </w:r>
    </w:p>
  </w:footnote>
  <w:footnote w:id="19">
    <w:p w14:paraId="6C197999" w14:textId="7D4DF612" w:rsidR="00AF652C" w:rsidRPr="00A534BF" w:rsidRDefault="00AF652C" w:rsidP="00A819BF">
      <w:pPr>
        <w:pStyle w:val="Textonotapie"/>
        <w:jc w:val="both"/>
        <w:rPr>
          <w:rFonts w:ascii="Times New Roman" w:hAnsi="Times New Roman" w:cs="Times New Roman"/>
          <w:lang w:val="es-ES_tradnl"/>
        </w:rPr>
      </w:pPr>
      <w:r w:rsidRPr="00A534BF">
        <w:rPr>
          <w:rStyle w:val="Refdenotaalpie"/>
          <w:rFonts w:ascii="Times New Roman" w:hAnsi="Times New Roman" w:cs="Times New Roman"/>
        </w:rPr>
        <w:footnoteRef/>
      </w:r>
      <w:r w:rsidRPr="00641EE6">
        <w:rPr>
          <w:rFonts w:ascii="Times New Roman" w:hAnsi="Times New Roman" w:cs="Times New Roman"/>
          <w:lang w:val="es-PY"/>
        </w:rPr>
        <w:t xml:space="preserve"> </w:t>
      </w:r>
      <w:r w:rsidRPr="00A534BF">
        <w:rPr>
          <w:rFonts w:ascii="Times New Roman" w:hAnsi="Times New Roman" w:cs="Times New Roman"/>
          <w:lang w:val="es-ES_tradnl"/>
        </w:rPr>
        <w:t xml:space="preserve">Constituyendo un gran desafío para la vigilancia de lesiones por causas externas, ya que muchas veces las mismas son registradas por el </w:t>
      </w:r>
      <w:proofErr w:type="spellStart"/>
      <w:r w:rsidRPr="00A534BF">
        <w:rPr>
          <w:rFonts w:ascii="Times New Roman" w:hAnsi="Times New Roman" w:cs="Times New Roman"/>
          <w:lang w:val="es-ES_tradnl"/>
        </w:rPr>
        <w:t>secto</w:t>
      </w:r>
      <w:proofErr w:type="spellEnd"/>
      <w:r w:rsidRPr="00A534BF">
        <w:rPr>
          <w:rFonts w:ascii="Times New Roman" w:hAnsi="Times New Roman" w:cs="Times New Roman"/>
          <w:lang w:val="es-ES_tradnl"/>
        </w:rPr>
        <w:t xml:space="preserve"> de seguridad y no por el de la salud. </w:t>
      </w:r>
    </w:p>
  </w:footnote>
  <w:footnote w:id="20">
    <w:p w14:paraId="734B4025" w14:textId="77777777" w:rsidR="00AF652C" w:rsidRPr="00641EE6" w:rsidRDefault="00AF652C" w:rsidP="00A819BF">
      <w:pPr>
        <w:pStyle w:val="Sinespaciado"/>
        <w:jc w:val="both"/>
        <w:rPr>
          <w:rFonts w:ascii="Times New Roman" w:hAnsi="Times New Roman" w:cs="Times New Roman"/>
          <w:sz w:val="20"/>
          <w:szCs w:val="20"/>
          <w:lang w:val="es-PY"/>
        </w:rPr>
      </w:pPr>
      <w:r w:rsidRPr="00A534BF">
        <w:rPr>
          <w:rStyle w:val="Refdenotaalpie"/>
          <w:rFonts w:ascii="Times New Roman" w:eastAsia="Calibri" w:hAnsi="Times New Roman" w:cs="Times New Roman"/>
          <w:sz w:val="20"/>
          <w:szCs w:val="20"/>
        </w:rPr>
        <w:footnoteRef/>
      </w:r>
      <w:r w:rsidRPr="00641EE6">
        <w:rPr>
          <w:rFonts w:ascii="Times New Roman" w:hAnsi="Times New Roman" w:cs="Times New Roman"/>
          <w:sz w:val="20"/>
          <w:szCs w:val="20"/>
          <w:lang w:val="es-PY"/>
        </w:rPr>
        <w:t xml:space="preserve"> La Resolución n. 151/96 del GMC defiende la necesidad de “facilitar la armonización de las legislaciones nacionales y de la compatibilización de los sistemas de control sanitário de los Estados-parte”. Disponible en: </w:t>
      </w:r>
      <w:r w:rsidR="00551ED2">
        <w:rPr>
          <w:rStyle w:val="Hyperlink6"/>
          <w:rFonts w:ascii="Times New Roman" w:hAnsi="Times New Roman" w:cs="Times New Roman"/>
        </w:rPr>
        <w:fldChar w:fldCharType="begin"/>
      </w:r>
      <w:r w:rsidR="00551ED2" w:rsidRPr="00641EE6">
        <w:rPr>
          <w:rStyle w:val="Hyperlink6"/>
          <w:rFonts w:ascii="Times New Roman" w:hAnsi="Times New Roman" w:cs="Times New Roman"/>
          <w:lang w:val="es-PY"/>
        </w:rPr>
        <w:instrText xml:space="preserve"> HYPERLINK "http://www.mercosur.int/msweb/portal%20intermediario/Normas/normas_web/Resoluciones/PT/96151.pdf" </w:instrText>
      </w:r>
      <w:r w:rsidR="00551ED2">
        <w:rPr>
          <w:rStyle w:val="Hyperlink6"/>
          <w:rFonts w:ascii="Times New Roman" w:hAnsi="Times New Roman" w:cs="Times New Roman"/>
        </w:rPr>
        <w:fldChar w:fldCharType="separate"/>
      </w:r>
      <w:r w:rsidRPr="00641EE6">
        <w:rPr>
          <w:rStyle w:val="Hyperlink6"/>
          <w:rFonts w:ascii="Times New Roman" w:hAnsi="Times New Roman" w:cs="Times New Roman"/>
          <w:lang w:val="es-PY"/>
        </w:rPr>
        <w:t>&lt;www.mercosur.int/msweb/portal%20intermediario/Normas/normas_web/Resoluciones/PT/96151.pdf&gt;</w:t>
      </w:r>
      <w:r w:rsidR="00551ED2">
        <w:rPr>
          <w:rStyle w:val="Hyperlink6"/>
          <w:rFonts w:ascii="Times New Roman" w:hAnsi="Times New Roman" w:cs="Times New Roman"/>
        </w:rPr>
        <w:fldChar w:fldCharType="end"/>
      </w:r>
      <w:r w:rsidRPr="00641EE6">
        <w:rPr>
          <w:rFonts w:ascii="Times New Roman" w:hAnsi="Times New Roman" w:cs="Times New Roman"/>
          <w:sz w:val="20"/>
          <w:szCs w:val="20"/>
          <w:lang w:val="es-PY"/>
        </w:rPr>
        <w:t>. Acceso en: ago. 2015.</w:t>
      </w:r>
    </w:p>
  </w:footnote>
  <w:footnote w:id="21">
    <w:p w14:paraId="0B0055E4" w14:textId="08442F7C" w:rsidR="00AF652C" w:rsidRPr="00A534BF" w:rsidRDefault="00AF652C" w:rsidP="00A819BF">
      <w:pPr>
        <w:pStyle w:val="Sinespaciado"/>
        <w:jc w:val="both"/>
        <w:rPr>
          <w:rFonts w:ascii="Times New Roman" w:eastAsia="Calibri" w:hAnsi="Times New Roman" w:cs="Times New Roman"/>
          <w:sz w:val="20"/>
          <w:szCs w:val="20"/>
          <w:lang w:val="es-ES_tradnl"/>
        </w:rPr>
      </w:pPr>
      <w:r w:rsidRPr="00A534BF">
        <w:rPr>
          <w:rFonts w:ascii="Times New Roman" w:hAnsi="Times New Roman" w:cs="Times New Roman"/>
          <w:sz w:val="20"/>
          <w:szCs w:val="20"/>
          <w:vertAlign w:val="superscript"/>
        </w:rPr>
        <w:footnoteRef/>
      </w:r>
      <w:r w:rsidRPr="00641EE6">
        <w:rPr>
          <w:rFonts w:ascii="Times New Roman" w:hAnsi="Times New Roman" w:cs="Times New Roman"/>
          <w:sz w:val="20"/>
          <w:szCs w:val="20"/>
          <w:lang w:val="es-PY"/>
        </w:rPr>
        <w:t xml:space="preserve"> El SGT 11 trabaja siguiendo una pauta negociada, aprobada por la Resolución 13/07 del GMC, que indica los temas sobre los cuales la armonización tendrá normas aplicables a todos. La pauta también determina la estructura organizacional del subgrupo de trabajo. </w:t>
      </w:r>
      <w:r w:rsidRPr="00A534BF">
        <w:rPr>
          <w:rFonts w:ascii="Times New Roman" w:hAnsi="Times New Roman" w:cs="Times New Roman"/>
          <w:sz w:val="20"/>
          <w:szCs w:val="20"/>
          <w:lang w:val="es-ES_tradnl"/>
        </w:rPr>
        <w:t>La entrada en vigor de normas en el Mercosur no es automática y tampoco demanda que los Estados-partes las incorporen, en forma automática, en sus ordenamientos jurídicos nacionales. Consultas internas son realizadas, y los Estados pueden pedir la modificación de las normas, no obstante, están obligados a incorporar las normas aprobadas a sus ordenamientos jurídicos nacionales, lo que acontece por medio de resoluciones ministeriales o disposiciones de las agencias reguladoras, según las competencias que tengan en cada estado-parte.</w:t>
      </w:r>
    </w:p>
  </w:footnote>
  <w:footnote w:id="22">
    <w:p w14:paraId="28E8B7F0" w14:textId="77777777" w:rsidR="00AF652C" w:rsidRPr="00641EE6" w:rsidRDefault="00AF652C" w:rsidP="00A819BF">
      <w:pPr>
        <w:pStyle w:val="Default"/>
        <w:spacing w:after="120" w:line="240" w:lineRule="atLeast"/>
        <w:jc w:val="both"/>
        <w:rPr>
          <w:rFonts w:ascii="Times New Roman" w:hAnsi="Times New Roman" w:cs="Times New Roman"/>
          <w:color w:val="auto"/>
          <w:sz w:val="20"/>
          <w:szCs w:val="20"/>
          <w:lang w:val="es-PY"/>
        </w:rPr>
      </w:pPr>
      <w:r w:rsidRPr="00A534BF">
        <w:rPr>
          <w:rFonts w:ascii="Times New Roman" w:hAnsi="Times New Roman" w:cs="Times New Roman"/>
          <w:sz w:val="20"/>
          <w:szCs w:val="20"/>
          <w:vertAlign w:val="superscript"/>
        </w:rPr>
        <w:footnoteRef/>
      </w:r>
      <w:r w:rsidRPr="00641EE6">
        <w:rPr>
          <w:rFonts w:ascii="Times New Roman" w:hAnsi="Times New Roman" w:cs="Times New Roman"/>
          <w:color w:val="auto"/>
          <w:sz w:val="20"/>
          <w:szCs w:val="20"/>
          <w:lang w:val="es-PY"/>
        </w:rPr>
        <w:t xml:space="preserve"> El Reglamento Sanitário Internacional (RSI) es un instrumento jurídico internacional de carácter vinculante para 194 países, entre ellos todos los Estados-miembros de la OMS. Su objetivo es ayudar a la comunidad internacional a prevenir y enfrentar los riesgos agudos de salud pública que puedan atravesar fronteras y amenazar poblaciones en todo el mundo. Disponible en: </w:t>
      </w:r>
      <w:r w:rsidR="00551ED2">
        <w:rPr>
          <w:rFonts w:ascii="Times New Roman" w:hAnsi="Times New Roman" w:cs="Times New Roman"/>
          <w:sz w:val="20"/>
          <w:szCs w:val="20"/>
        </w:rPr>
        <w:fldChar w:fldCharType="begin"/>
      </w:r>
      <w:r w:rsidR="00551ED2" w:rsidRPr="00641EE6">
        <w:rPr>
          <w:rFonts w:ascii="Times New Roman" w:hAnsi="Times New Roman" w:cs="Times New Roman"/>
          <w:sz w:val="20"/>
          <w:szCs w:val="20"/>
          <w:lang w:val="es-PY"/>
        </w:rPr>
        <w:instrText xml:space="preserve"> HYPERLINK "http://w</w:instrText>
      </w:r>
      <w:r w:rsidR="00551ED2" w:rsidRPr="00641EE6">
        <w:rPr>
          <w:rFonts w:ascii="Times New Roman" w:hAnsi="Times New Roman" w:cs="Times New Roman"/>
          <w:sz w:val="20"/>
          <w:szCs w:val="20"/>
          <w:lang w:val="es-PY"/>
        </w:rPr>
        <w:instrText xml:space="preserve">ww.who.int/ihr/es/" </w:instrText>
      </w:r>
      <w:r w:rsidR="00551ED2">
        <w:rPr>
          <w:rFonts w:ascii="Times New Roman" w:hAnsi="Times New Roman" w:cs="Times New Roman"/>
          <w:sz w:val="20"/>
          <w:szCs w:val="20"/>
        </w:rPr>
        <w:fldChar w:fldCharType="separate"/>
      </w:r>
      <w:r w:rsidRPr="00641EE6">
        <w:rPr>
          <w:rFonts w:ascii="Times New Roman" w:hAnsi="Times New Roman" w:cs="Times New Roman"/>
          <w:sz w:val="20"/>
          <w:szCs w:val="20"/>
          <w:lang w:val="es-PY"/>
        </w:rPr>
        <w:t>&lt;www.who.int/ihr/es/</w:t>
      </w:r>
      <w:r w:rsidR="00551ED2">
        <w:rPr>
          <w:rFonts w:ascii="Times New Roman" w:hAnsi="Times New Roman" w:cs="Times New Roman"/>
          <w:sz w:val="20"/>
          <w:szCs w:val="20"/>
        </w:rPr>
        <w:fldChar w:fldCharType="end"/>
      </w:r>
      <w:r w:rsidRPr="00641EE6">
        <w:rPr>
          <w:rFonts w:ascii="Times New Roman" w:hAnsi="Times New Roman" w:cs="Times New Roman"/>
          <w:sz w:val="20"/>
          <w:szCs w:val="20"/>
          <w:lang w:val="es-PY"/>
        </w:rPr>
        <w:t>&gt;</w:t>
      </w:r>
      <w:r w:rsidRPr="00641EE6">
        <w:rPr>
          <w:rFonts w:ascii="Times New Roman" w:hAnsi="Times New Roman" w:cs="Times New Roman"/>
          <w:color w:val="auto"/>
          <w:sz w:val="20"/>
          <w:szCs w:val="20"/>
          <w:lang w:val="es-PY"/>
        </w:rPr>
        <w:t>. Acceso en: 21 ago. 2014.</w:t>
      </w:r>
    </w:p>
  </w:footnote>
  <w:footnote w:id="23">
    <w:p w14:paraId="4969FBCC" w14:textId="39066FEB" w:rsidR="00AF652C" w:rsidRPr="00A534BF" w:rsidRDefault="00AF652C" w:rsidP="00A819BF">
      <w:pPr>
        <w:pStyle w:val="Textonotapie"/>
        <w:jc w:val="both"/>
        <w:rPr>
          <w:rFonts w:ascii="Times New Roman" w:hAnsi="Times New Roman" w:cs="Times New Roman"/>
          <w:lang w:val="es-ES"/>
        </w:rPr>
      </w:pPr>
      <w:r w:rsidRPr="00A534BF">
        <w:rPr>
          <w:rStyle w:val="Refdenotaalpie"/>
          <w:rFonts w:ascii="Times New Roman" w:hAnsi="Times New Roman" w:cs="Times New Roman"/>
        </w:rPr>
        <w:footnoteRef/>
      </w:r>
      <w:r w:rsidRPr="00A534BF">
        <w:rPr>
          <w:rFonts w:ascii="Times New Roman" w:hAnsi="Times New Roman" w:cs="Times New Roman"/>
          <w:lang w:val="es-ES"/>
        </w:rPr>
        <w:t xml:space="preserve"> Desde la Comisión de Vigilancia de la Salud del SGT N</w:t>
      </w:r>
      <w:r w:rsidRPr="00A534BF">
        <w:rPr>
          <w:rFonts w:ascii="Times New Roman" w:hAnsi="Times New Roman" w:cs="Times New Roman"/>
          <w:vertAlign w:val="superscript"/>
          <w:lang w:val="es-ES"/>
        </w:rPr>
        <w:t>ro</w:t>
      </w:r>
      <w:r w:rsidRPr="00A534BF">
        <w:rPr>
          <w:rFonts w:ascii="Times New Roman" w:hAnsi="Times New Roman" w:cs="Times New Roman"/>
          <w:lang w:val="es-ES"/>
        </w:rPr>
        <w:t xml:space="preserve">11 Salud, em cada reunión ordinária, los Estados partes hacen el seguimento de las enfermidades transmisibles, analizando posibles brotes de enfermedades que constituyen amenazas regionales y que van mas allá de las fronteras nacionales de los mismos.  </w:t>
      </w:r>
    </w:p>
  </w:footnote>
  <w:footnote w:id="24">
    <w:p w14:paraId="64DE2212" w14:textId="58881442" w:rsidR="00AF652C" w:rsidRPr="00641EE6" w:rsidRDefault="00AF652C" w:rsidP="00A819BF">
      <w:pPr>
        <w:pStyle w:val="Textonotapie"/>
        <w:jc w:val="both"/>
        <w:rPr>
          <w:rFonts w:ascii="Times New Roman" w:hAnsi="Times New Roman" w:cs="Times New Roman"/>
          <w:lang w:val="es-PY"/>
        </w:rPr>
      </w:pPr>
      <w:r w:rsidRPr="00A534BF">
        <w:rPr>
          <w:rStyle w:val="Refdenotaalpie"/>
          <w:rFonts w:ascii="Times New Roman" w:hAnsi="Times New Roman" w:cs="Times New Roman"/>
        </w:rPr>
        <w:footnoteRef/>
      </w:r>
      <w:r w:rsidRPr="00A534BF">
        <w:rPr>
          <w:rFonts w:ascii="Times New Roman" w:hAnsi="Times New Roman" w:cs="Times New Roman"/>
          <w:lang w:val="uz-Cyrl-UZ"/>
        </w:rPr>
        <w:t xml:space="preserve"> La primera reunión del Grupo Ad Hoc de Enfermedades Cronicas No Transmisibles del</w:t>
      </w:r>
      <w:r w:rsidRPr="00A534BF">
        <w:rPr>
          <w:rFonts w:ascii="Times New Roman" w:hAnsi="Times New Roman" w:cs="Times New Roman"/>
          <w:lang w:val="es-ES"/>
        </w:rPr>
        <w:t xml:space="preserve"> Mercosur</w:t>
      </w:r>
      <w:r w:rsidRPr="00A534BF">
        <w:rPr>
          <w:rFonts w:ascii="Times New Roman" w:hAnsi="Times New Roman" w:cs="Times New Roman"/>
          <w:lang w:val="uz-Cyrl-UZ"/>
        </w:rPr>
        <w:t xml:space="preserve"> se realizó en la ciudad de Porto Alegre, Brasil, los dias 15 e 16 de setembro de 2008 durante la XXXI Reunión del Subgrupo de Trabajo Nº 11 “Saúde”/MERCOSUL, por médio de um Taller sobre Vigilancia de Enfermedades No Transmisibles (VENT) con la participación de los Estados Partes (Argentina, Brasil, Paraguay, Uruguay), Venezuela como Estado Parte en Proceso de Adesión y Chile como Estado Asociado del MERCOSUL. También participó la Organización Panamericana de la Salud. Ver Ata 02/08 COVIGSAL. </w:t>
      </w:r>
      <w:r w:rsidRPr="00A534BF">
        <w:rPr>
          <w:rFonts w:ascii="Times New Roman" w:hAnsi="Times New Roman" w:cs="Times New Roman"/>
          <w:bCs/>
          <w:lang w:val="uz-Cyrl-UZ"/>
        </w:rPr>
        <w:t>MERCOSUL/XXXI SGT Nº 1</w:t>
      </w:r>
      <w:r w:rsidRPr="00641EE6">
        <w:rPr>
          <w:rFonts w:ascii="Times New Roman" w:hAnsi="Times New Roman" w:cs="Times New Roman"/>
          <w:bCs/>
          <w:lang w:val="es-PY"/>
        </w:rPr>
        <w:t>1 Salud</w:t>
      </w:r>
    </w:p>
  </w:footnote>
  <w:footnote w:id="25">
    <w:p w14:paraId="38CDED1F" w14:textId="77777777" w:rsidR="00AF652C" w:rsidRPr="00A534BF" w:rsidRDefault="00AF652C" w:rsidP="00A819BF">
      <w:pPr>
        <w:pStyle w:val="Textonotapie"/>
        <w:jc w:val="both"/>
        <w:rPr>
          <w:rFonts w:ascii="Times New Roman" w:hAnsi="Times New Roman" w:cs="Times New Roman"/>
          <w:lang w:val="uz-Cyrl-UZ"/>
        </w:rPr>
      </w:pPr>
      <w:r w:rsidRPr="00A534BF">
        <w:rPr>
          <w:rStyle w:val="Refdenotaalpie"/>
          <w:rFonts w:ascii="Times New Roman" w:hAnsi="Times New Roman" w:cs="Times New Roman"/>
        </w:rPr>
        <w:footnoteRef/>
      </w:r>
      <w:r w:rsidRPr="00A534BF">
        <w:rPr>
          <w:rFonts w:ascii="Times New Roman" w:hAnsi="Times New Roman" w:cs="Times New Roman"/>
          <w:lang w:val="uz-Cyrl-UZ"/>
        </w:rPr>
        <w:t xml:space="preserve"> Ver </w:t>
      </w:r>
      <w:r w:rsidRPr="00A534BF">
        <w:rPr>
          <w:rFonts w:ascii="Times New Roman" w:hAnsi="Times New Roman" w:cs="Times New Roman"/>
          <w:i/>
          <w:lang w:val="es-AR"/>
        </w:rPr>
        <w:t xml:space="preserve">OMS (2018) </w:t>
      </w:r>
      <w:r w:rsidRPr="00A534BF">
        <w:rPr>
          <w:rFonts w:ascii="Times New Roman" w:hAnsi="Times New Roman" w:cs="Times New Roman"/>
          <w:lang w:val="es-AR"/>
        </w:rPr>
        <w:t xml:space="preserve">Informe de la Comisión Independiente de Alto Nivel de la OMS sobre Enfermedades No Transmisibles. Disponible en:  </w:t>
      </w:r>
      <w:hyperlink r:id="rId9" w:history="1">
        <w:r w:rsidRPr="00A534BF">
          <w:rPr>
            <w:rStyle w:val="Hipervnculo"/>
            <w:rFonts w:ascii="Times New Roman" w:hAnsi="Times New Roman" w:cs="Times New Roman"/>
            <w:lang w:val="es-AR"/>
          </w:rPr>
          <w:t>http://apps.who.int/iris/bitstream/handle/10665/272712/9789243514161-spa.pdf?ua=1</w:t>
        </w:r>
      </w:hyperlink>
      <w:r w:rsidRPr="00A534BF">
        <w:rPr>
          <w:rFonts w:ascii="Times New Roman" w:hAnsi="Times New Roman" w:cs="Times New Roman"/>
          <w:lang w:val="es-AR"/>
        </w:rPr>
        <w:t xml:space="preserve"> . </w:t>
      </w:r>
      <w:proofErr w:type="spellStart"/>
      <w:r w:rsidRPr="00A534BF">
        <w:rPr>
          <w:rFonts w:ascii="Times New Roman" w:hAnsi="Times New Roman" w:cs="Times New Roman"/>
          <w:lang w:val="en-GB"/>
        </w:rPr>
        <w:t>Acceso</w:t>
      </w:r>
      <w:proofErr w:type="spellEnd"/>
      <w:r w:rsidRPr="00A534BF">
        <w:rPr>
          <w:rFonts w:ascii="Times New Roman" w:hAnsi="Times New Roman" w:cs="Times New Roman"/>
          <w:lang w:val="en-GB"/>
        </w:rPr>
        <w:t xml:space="preserve"> 8 de </w:t>
      </w:r>
      <w:proofErr w:type="spellStart"/>
      <w:r w:rsidRPr="00A534BF">
        <w:rPr>
          <w:rFonts w:ascii="Times New Roman" w:hAnsi="Times New Roman" w:cs="Times New Roman"/>
          <w:lang w:val="en-GB"/>
        </w:rPr>
        <w:t>junio</w:t>
      </w:r>
      <w:proofErr w:type="spellEnd"/>
      <w:r w:rsidRPr="00A534BF">
        <w:rPr>
          <w:rFonts w:ascii="Times New Roman" w:hAnsi="Times New Roman" w:cs="Times New Roman"/>
          <w:lang w:val="en-GB"/>
        </w:rPr>
        <w:t xml:space="preserve"> de 2018</w:t>
      </w:r>
    </w:p>
  </w:footnote>
  <w:footnote w:id="26">
    <w:p w14:paraId="6EBFEFDF" w14:textId="3B04C290" w:rsidR="00AF652C" w:rsidRPr="00A534BF" w:rsidRDefault="00AF652C" w:rsidP="00A819BF">
      <w:pPr>
        <w:spacing w:after="0" w:line="240" w:lineRule="auto"/>
        <w:jc w:val="both"/>
        <w:rPr>
          <w:rFonts w:ascii="Times New Roman" w:hAnsi="Times New Roman" w:cs="Times New Roman"/>
          <w:sz w:val="20"/>
          <w:szCs w:val="20"/>
          <w:lang w:val="en-US"/>
        </w:rPr>
      </w:pPr>
      <w:r w:rsidRPr="00A534BF">
        <w:rPr>
          <w:rStyle w:val="Refdenotaalpie"/>
          <w:rFonts w:ascii="Times New Roman" w:hAnsi="Times New Roman" w:cs="Times New Roman"/>
          <w:sz w:val="20"/>
          <w:szCs w:val="20"/>
        </w:rPr>
        <w:footnoteRef/>
      </w:r>
      <w:r w:rsidRPr="00A534BF">
        <w:rPr>
          <w:rFonts w:ascii="Times New Roman" w:hAnsi="Times New Roman" w:cs="Times New Roman"/>
          <w:sz w:val="20"/>
          <w:szCs w:val="20"/>
          <w:lang w:val="en-GB"/>
        </w:rPr>
        <w:t xml:space="preserve">Fortune K; Becerra F; Buss P; Solar O; Ribeiro P; and </w:t>
      </w:r>
      <w:proofErr w:type="spellStart"/>
      <w:r w:rsidRPr="00A534BF">
        <w:rPr>
          <w:rFonts w:ascii="Times New Roman" w:hAnsi="Times New Roman" w:cs="Times New Roman"/>
          <w:sz w:val="20"/>
          <w:szCs w:val="20"/>
          <w:lang w:val="en-GB"/>
        </w:rPr>
        <w:t>Keahon</w:t>
      </w:r>
      <w:proofErr w:type="spellEnd"/>
      <w:r w:rsidRPr="00A534BF">
        <w:rPr>
          <w:rFonts w:ascii="Times New Roman" w:hAnsi="Times New Roman" w:cs="Times New Roman"/>
          <w:sz w:val="20"/>
          <w:szCs w:val="20"/>
          <w:lang w:val="en-GB"/>
        </w:rPr>
        <w:t xml:space="preserve"> GE. </w:t>
      </w:r>
      <w:r w:rsidRPr="00A534BF">
        <w:rPr>
          <w:rFonts w:ascii="Times New Roman" w:hAnsi="Times New Roman" w:cs="Times New Roman"/>
          <w:sz w:val="20"/>
          <w:szCs w:val="20"/>
          <w:lang w:val="en-US"/>
        </w:rPr>
        <w:t xml:space="preserve">Health in All Policies: Perspectives from the Region of t he Americas. </w:t>
      </w:r>
      <w:r w:rsidRPr="00A534BF">
        <w:rPr>
          <w:rFonts w:ascii="Times New Roman" w:hAnsi="Times New Roman" w:cs="Times New Roman"/>
          <w:i/>
          <w:sz w:val="20"/>
          <w:szCs w:val="20"/>
          <w:lang w:val="en-US"/>
        </w:rPr>
        <w:t xml:space="preserve">Oxford Research Encyclopedia in Global Public Health. </w:t>
      </w:r>
      <w:r w:rsidRPr="00A534BF">
        <w:rPr>
          <w:rFonts w:ascii="Times New Roman" w:hAnsi="Times New Roman" w:cs="Times New Roman"/>
          <w:sz w:val="20"/>
          <w:szCs w:val="20"/>
          <w:lang w:val="en-US"/>
        </w:rPr>
        <w:t>Online publication. Date: May 2018 DOI: 10.1093/</w:t>
      </w:r>
      <w:proofErr w:type="spellStart"/>
      <w:r w:rsidRPr="00A534BF">
        <w:rPr>
          <w:rFonts w:ascii="Times New Roman" w:hAnsi="Times New Roman" w:cs="Times New Roman"/>
          <w:sz w:val="20"/>
          <w:szCs w:val="20"/>
          <w:lang w:val="en-US"/>
        </w:rPr>
        <w:t>acrefore</w:t>
      </w:r>
      <w:proofErr w:type="spellEnd"/>
      <w:r w:rsidRPr="00A534BF">
        <w:rPr>
          <w:rFonts w:ascii="Times New Roman" w:hAnsi="Times New Roman" w:cs="Times New Roman"/>
          <w:sz w:val="20"/>
          <w:szCs w:val="20"/>
          <w:lang w:val="en-US"/>
        </w:rPr>
        <w:t xml:space="preserve">/9780190632366.013.26. Access: </w:t>
      </w:r>
      <w:hyperlink r:id="rId10" w:history="1">
        <w:r w:rsidRPr="00A534BF">
          <w:rPr>
            <w:rStyle w:val="Hipervnculo"/>
            <w:rFonts w:ascii="Times New Roman" w:hAnsi="Times New Roman" w:cs="Times New Roman"/>
            <w:sz w:val="20"/>
            <w:szCs w:val="20"/>
            <w:lang w:val="en-US"/>
          </w:rPr>
          <w:t>http://publichealth.oxfordre.com/view/10.1093/acrefore/9780190632366.001.0001/acrefore-9780190632366-e-26?print=pdf</w:t>
        </w:r>
      </w:hyperlink>
      <w:r w:rsidRPr="00A534BF">
        <w:rPr>
          <w:rFonts w:ascii="Times New Roman" w:hAnsi="Times New Roman" w:cs="Times New Roman"/>
          <w:sz w:val="20"/>
          <w:szCs w:val="20"/>
          <w:lang w:val="en-US"/>
        </w:rPr>
        <w:t xml:space="preserve"> </w:t>
      </w:r>
    </w:p>
  </w:footnote>
  <w:footnote w:id="27">
    <w:p w14:paraId="4F0E9D45" w14:textId="31139F9C" w:rsidR="00AF652C" w:rsidRPr="00A534BF" w:rsidRDefault="00AF652C" w:rsidP="00A819BF">
      <w:pPr>
        <w:pStyle w:val="Textonotapie"/>
        <w:jc w:val="both"/>
        <w:rPr>
          <w:rFonts w:ascii="Times New Roman" w:hAnsi="Times New Roman" w:cs="Times New Roman"/>
          <w:lang w:val="uz-Cyrl-UZ"/>
        </w:rPr>
      </w:pPr>
      <w:r w:rsidRPr="00A534BF">
        <w:rPr>
          <w:rStyle w:val="Refdenotaalpie"/>
          <w:rFonts w:ascii="Times New Roman" w:hAnsi="Times New Roman" w:cs="Times New Roman"/>
        </w:rPr>
        <w:footnoteRef/>
      </w:r>
      <w:r w:rsidRPr="00A534BF">
        <w:rPr>
          <w:rFonts w:ascii="Times New Roman" w:hAnsi="Times New Roman" w:cs="Times New Roman"/>
          <w:lang w:val="uz-Cyrl-UZ"/>
        </w:rPr>
        <w:t xml:space="preserve"> Es de destacar que la Resolución GMC N</w:t>
      </w:r>
      <w:r w:rsidRPr="00A534BF">
        <w:rPr>
          <w:rFonts w:ascii="Times New Roman" w:hAnsi="Times New Roman" w:cs="Times New Roman"/>
          <w:vertAlign w:val="superscript"/>
          <w:lang w:val="uz-Cyrl-UZ"/>
        </w:rPr>
        <w:t>ro.</w:t>
      </w:r>
      <w:r w:rsidRPr="00A534BF">
        <w:rPr>
          <w:rFonts w:ascii="Times New Roman" w:hAnsi="Times New Roman" w:cs="Times New Roman"/>
          <w:lang w:val="uz-Cyrl-UZ"/>
        </w:rPr>
        <w:t xml:space="preserve"> 18/94 de Rotulado Nutricional de Alimentos Envasados</w:t>
      </w:r>
      <w:r w:rsidRPr="00A534BF">
        <w:rPr>
          <w:rFonts w:ascii="Times New Roman" w:hAnsi="Times New Roman" w:cs="Times New Roman"/>
          <w:lang w:val="es-ES"/>
        </w:rPr>
        <w:t>,</w:t>
      </w:r>
      <w:r w:rsidRPr="00A534BF">
        <w:rPr>
          <w:rFonts w:ascii="Times New Roman" w:hAnsi="Times New Roman" w:cs="Times New Roman"/>
          <w:lang w:val="uz-Cyrl-UZ"/>
        </w:rPr>
        <w:t xml:space="preserve"> destinada a informar al consumidor sobre las propriedades de alimentos envasados</w:t>
      </w:r>
      <w:r w:rsidRPr="00A534BF">
        <w:rPr>
          <w:rFonts w:ascii="Times New Roman" w:hAnsi="Times New Roman" w:cs="Times New Roman"/>
          <w:lang w:val="es-ES"/>
        </w:rPr>
        <w:t>,</w:t>
      </w:r>
      <w:r w:rsidRPr="00A534BF">
        <w:rPr>
          <w:rFonts w:ascii="Times New Roman" w:hAnsi="Times New Roman" w:cs="Times New Roman"/>
          <w:lang w:val="uz-Cyrl-UZ"/>
        </w:rPr>
        <w:t xml:space="preserve"> es una medida muy interesante, que podría ser complementada con el semáforo que indique los alimentos obesogénicos de manera de evitar fatores de riesgo para las ECNT.  Durante la</w:t>
      </w:r>
      <w:r w:rsidRPr="00A534BF">
        <w:rPr>
          <w:rFonts w:ascii="Times New Roman" w:hAnsi="Times New Roman" w:cs="Times New Roman"/>
          <w:lang w:val="es-ES"/>
        </w:rPr>
        <w:t xml:space="preserve"> reciente reunión de Ministros en</w:t>
      </w:r>
    </w:p>
  </w:footnote>
  <w:footnote w:id="28">
    <w:p w14:paraId="60EDA911" w14:textId="3A1B9F36" w:rsidR="00AF652C" w:rsidRPr="00A534BF" w:rsidRDefault="00AF652C" w:rsidP="00A819BF">
      <w:pPr>
        <w:pStyle w:val="Textonotapie"/>
        <w:jc w:val="both"/>
        <w:rPr>
          <w:rFonts w:ascii="Times New Roman" w:hAnsi="Times New Roman" w:cs="Times New Roman"/>
          <w:lang w:val="es-AR"/>
        </w:rPr>
      </w:pPr>
      <w:r w:rsidRPr="00A534BF">
        <w:rPr>
          <w:rStyle w:val="Refdenotaalpie"/>
          <w:rFonts w:ascii="Times New Roman" w:hAnsi="Times New Roman" w:cs="Times New Roman"/>
          <w:lang w:val="es-AR"/>
        </w:rPr>
        <w:footnoteRef/>
      </w:r>
      <w:r w:rsidRPr="00A534BF">
        <w:rPr>
          <w:rFonts w:ascii="Times New Roman" w:hAnsi="Times New Roman" w:cs="Times New Roman"/>
          <w:lang w:val="es-AR"/>
        </w:rPr>
        <w:t xml:space="preserve"> Ver: Buss &amp; Tobar (2017). Para Promover la Salud es Preciso Enfrentar la Pobreza. </w:t>
      </w:r>
      <w:r w:rsidRPr="00A534BF">
        <w:rPr>
          <w:rFonts w:ascii="Times New Roman" w:hAnsi="Times New Roman" w:cs="Times New Roman"/>
          <w:i/>
          <w:lang w:val="es-AR"/>
        </w:rPr>
        <w:t>Revista de la Universidad ISALUD</w:t>
      </w:r>
      <w:r w:rsidRPr="00A534BF">
        <w:rPr>
          <w:rFonts w:ascii="Times New Roman" w:hAnsi="Times New Roman" w:cs="Times New Roman"/>
          <w:lang w:val="es-AR"/>
        </w:rPr>
        <w:t xml:space="preserve"> Nro 58, Volumen 12, pp. 46-50,  Agosto 2017. Disponible en: </w:t>
      </w:r>
      <w:hyperlink r:id="rId11" w:history="1">
        <w:r w:rsidRPr="00A534BF">
          <w:rPr>
            <w:rStyle w:val="Hipervnculo"/>
            <w:rFonts w:ascii="Times New Roman" w:hAnsi="Times New Roman" w:cs="Times New Roman"/>
            <w:lang w:val="es-AR"/>
          </w:rPr>
          <w:t>http://www.isalud.edu.ar/institucional/publicaciones/revista-isalud</w:t>
        </w:r>
      </w:hyperlink>
      <w:r w:rsidRPr="00A534BF">
        <w:rPr>
          <w:rFonts w:ascii="Times New Roman" w:hAnsi="Times New Roman" w:cs="Times New Roman"/>
          <w:lang w:val="es-AR"/>
        </w:rPr>
        <w:t xml:space="preserve">. </w:t>
      </w:r>
    </w:p>
  </w:footnote>
  <w:footnote w:id="29">
    <w:p w14:paraId="6BF5AAC2" w14:textId="50B7A8EB" w:rsidR="00AF652C" w:rsidRPr="00A534BF" w:rsidRDefault="00AF652C" w:rsidP="00A819BF">
      <w:pPr>
        <w:pStyle w:val="Textonotapie"/>
        <w:jc w:val="both"/>
        <w:rPr>
          <w:rFonts w:ascii="Times New Roman" w:hAnsi="Times New Roman" w:cs="Times New Roman"/>
          <w:lang w:val="es-AR"/>
        </w:rPr>
      </w:pPr>
      <w:r w:rsidRPr="00A534BF">
        <w:rPr>
          <w:rStyle w:val="Refdenotaalpie"/>
          <w:rFonts w:ascii="Times New Roman" w:hAnsi="Times New Roman" w:cs="Times New Roman"/>
          <w:lang w:val="es-AR"/>
        </w:rPr>
        <w:footnoteRef/>
      </w:r>
      <w:r w:rsidRPr="00A534BF">
        <w:rPr>
          <w:rFonts w:ascii="Times New Roman" w:hAnsi="Times New Roman" w:cs="Times New Roman"/>
          <w:lang w:val="es-AR"/>
        </w:rPr>
        <w:t xml:space="preserve"> Ver: CEPAL (Comisión Económica para América Latina y el Caribe) (2017). </w:t>
      </w:r>
      <w:r w:rsidRPr="00A534BF">
        <w:rPr>
          <w:rFonts w:ascii="Times New Roman" w:hAnsi="Times New Roman" w:cs="Times New Roman"/>
          <w:i/>
          <w:lang w:val="es-AR"/>
        </w:rPr>
        <w:t>“El Panorama Fiscal de América Latina y el Caribe. La Movilización de Recursos para el Financiamiento del Desarrollo Sostenible 2017”</w:t>
      </w:r>
      <w:r w:rsidRPr="00A534BF">
        <w:rPr>
          <w:rFonts w:ascii="Times New Roman" w:hAnsi="Times New Roman" w:cs="Times New Roman"/>
          <w:lang w:val="es-AR"/>
        </w:rPr>
        <w:t>.. Santiago de Chile, CEPAL, 2017.</w:t>
      </w:r>
    </w:p>
  </w:footnote>
  <w:footnote w:id="30">
    <w:p w14:paraId="60D58D55" w14:textId="76A1A962" w:rsidR="00AF652C" w:rsidRPr="00A534BF" w:rsidRDefault="00AF652C" w:rsidP="00A819BF">
      <w:pPr>
        <w:pStyle w:val="Textonotapie"/>
        <w:jc w:val="both"/>
        <w:rPr>
          <w:rFonts w:ascii="Times New Roman" w:hAnsi="Times New Roman" w:cs="Times New Roman"/>
          <w:lang w:val="es-ES"/>
        </w:rPr>
      </w:pPr>
      <w:r w:rsidRPr="00A534BF">
        <w:rPr>
          <w:rStyle w:val="Refdenotaalpie"/>
          <w:rFonts w:ascii="Times New Roman" w:hAnsi="Times New Roman" w:cs="Times New Roman"/>
        </w:rPr>
        <w:footnoteRef/>
      </w:r>
      <w:r w:rsidRPr="00A534BF">
        <w:rPr>
          <w:rFonts w:ascii="Times New Roman" w:hAnsi="Times New Roman" w:cs="Times New Roman"/>
          <w:lang w:val="es-ES"/>
        </w:rPr>
        <w:t xml:space="preserve"> Es de destacar que aún cuando el ODS 3 se refiere a la salud, los otros 16 ODS constituyen importantes determinantes del objetivo vinculado a salud y bienestar, </w:t>
      </w:r>
      <w:proofErr w:type="spellStart"/>
      <w:r w:rsidRPr="00A534BF">
        <w:rPr>
          <w:rFonts w:ascii="Times New Roman" w:hAnsi="Times New Roman" w:cs="Times New Roman"/>
          <w:lang w:val="es-ES"/>
        </w:rPr>
        <w:t>remitiendonós</w:t>
      </w:r>
      <w:proofErr w:type="spellEnd"/>
      <w:r w:rsidRPr="00A534BF">
        <w:rPr>
          <w:rFonts w:ascii="Times New Roman" w:hAnsi="Times New Roman" w:cs="Times New Roman"/>
          <w:lang w:val="es-ES"/>
        </w:rPr>
        <w:t xml:space="preserve"> a la relación a salud y desarrollo.  </w:t>
      </w:r>
    </w:p>
  </w:footnote>
  <w:footnote w:id="31">
    <w:p w14:paraId="0948B2E3" w14:textId="53B7723C" w:rsidR="00AF652C" w:rsidRPr="00641EE6" w:rsidRDefault="00AF652C" w:rsidP="00F30204">
      <w:pPr>
        <w:pStyle w:val="Textonotapie"/>
        <w:jc w:val="both"/>
        <w:rPr>
          <w:rFonts w:ascii="Times New Roman" w:hAnsi="Times New Roman" w:cs="Times New Roman"/>
          <w:lang w:val="es-PY"/>
        </w:rPr>
      </w:pPr>
      <w:r w:rsidRPr="00A534BF">
        <w:rPr>
          <w:rStyle w:val="Refdenotaalpie"/>
          <w:rFonts w:ascii="Times New Roman" w:hAnsi="Times New Roman" w:cs="Times New Roman"/>
        </w:rPr>
        <w:footnoteRef/>
      </w:r>
      <w:r w:rsidRPr="00641EE6">
        <w:rPr>
          <w:rFonts w:ascii="Times New Roman" w:hAnsi="Times New Roman" w:cs="Times New Roman"/>
          <w:lang w:val="es-PY"/>
        </w:rPr>
        <w:t xml:space="preserve"> El Foro Político de Alto Nivel sobre el Desarrollo Sostenible es la plataforma central de las Naciones Unidas para el seguimiento y la revisión de la Agenda 2030 para el Desarrollo Sostenible y los Objetivos de Desarrollo Sostenible, adoptada en la Cumbre de las Naciones Unidas sobre Desarrollo Sostenible el 25 de septiembre de 2015 . Disponible en  </w:t>
      </w:r>
      <w:hyperlink r:id="rId12" w:history="1">
        <w:r w:rsidRPr="00641EE6">
          <w:rPr>
            <w:rStyle w:val="Hipervnculo"/>
            <w:rFonts w:ascii="Times New Roman" w:hAnsi="Times New Roman" w:cs="Times New Roman"/>
            <w:lang w:val="es-PY"/>
          </w:rPr>
          <w:t>https://www.un.org/ecosoc/es/events/2016-1</w:t>
        </w:r>
      </w:hyperlink>
      <w:r w:rsidRPr="00641EE6">
        <w:rPr>
          <w:rFonts w:ascii="Times New Roman" w:hAnsi="Times New Roman" w:cs="Times New Roman"/>
          <w:lang w:val="es-PY"/>
        </w:rPr>
        <w:t xml:space="preserve"> Acceso: jul. 2018.</w:t>
      </w:r>
    </w:p>
  </w:footnote>
  <w:footnote w:id="32">
    <w:p w14:paraId="2A973B72" w14:textId="38996116" w:rsidR="00AF652C" w:rsidRPr="00A534BF" w:rsidRDefault="00AF652C" w:rsidP="00A819BF">
      <w:pPr>
        <w:pStyle w:val="Textonotapie"/>
        <w:jc w:val="both"/>
        <w:rPr>
          <w:rFonts w:ascii="Times New Roman" w:hAnsi="Times New Roman" w:cs="Times New Roman"/>
          <w:lang w:val="es-ES_tradnl"/>
        </w:rPr>
      </w:pPr>
      <w:r w:rsidRPr="00A534BF">
        <w:rPr>
          <w:rStyle w:val="Refdenotaalpie"/>
          <w:rFonts w:ascii="Times New Roman" w:hAnsi="Times New Roman" w:cs="Times New Roman"/>
        </w:rPr>
        <w:footnoteRef/>
      </w:r>
      <w:r w:rsidRPr="00A534BF">
        <w:rPr>
          <w:rFonts w:ascii="Times New Roman" w:hAnsi="Times New Roman" w:cs="Times New Roman"/>
        </w:rPr>
        <w:t xml:space="preserve"> GESTOS e IDS (Org.). Relatório Luz da Agenda 2030 de Desenvolvimento Sustentável – Síntese, 2017. </w:t>
      </w:r>
      <w:r w:rsidRPr="00A534BF">
        <w:rPr>
          <w:rFonts w:ascii="Times New Roman" w:hAnsi="Times New Roman" w:cs="Times New Roman"/>
          <w:lang w:val="es-ES"/>
        </w:rPr>
        <w:t xml:space="preserve">Disponible en: </w:t>
      </w:r>
      <w:hyperlink r:id="rId13" w:history="1">
        <w:r w:rsidRPr="00A534BF">
          <w:rPr>
            <w:rStyle w:val="Hipervnculo"/>
            <w:rFonts w:ascii="Times New Roman" w:hAnsi="Times New Roman" w:cs="Times New Roman"/>
            <w:lang w:val="es-ES"/>
          </w:rPr>
          <w:t>http://actionaid.org.br/wp-content/files_mf/1499785232Relatorio_sintese_v2_23jun.pdf</w:t>
        </w:r>
      </w:hyperlink>
    </w:p>
  </w:footnote>
  <w:footnote w:id="33">
    <w:p w14:paraId="1AE49DB1" w14:textId="54E28900" w:rsidR="00AF652C" w:rsidRPr="00A534BF" w:rsidRDefault="00AF652C" w:rsidP="00A819BF">
      <w:pPr>
        <w:pStyle w:val="Textonotapie"/>
        <w:jc w:val="both"/>
        <w:rPr>
          <w:rFonts w:ascii="Times New Roman" w:hAnsi="Times New Roman" w:cs="Times New Roman"/>
          <w:lang w:val="es-ES_tradnl"/>
        </w:rPr>
      </w:pPr>
      <w:r w:rsidRPr="00A534BF">
        <w:rPr>
          <w:rStyle w:val="Refdenotaalpie"/>
          <w:rFonts w:ascii="Times New Roman" w:hAnsi="Times New Roman" w:cs="Times New Roman"/>
        </w:rPr>
        <w:footnoteRef/>
      </w:r>
      <w:r w:rsidRPr="00A534BF">
        <w:rPr>
          <w:rFonts w:ascii="Times New Roman" w:hAnsi="Times New Roman" w:cs="Times New Roman"/>
          <w:lang w:val="es-ES"/>
        </w:rPr>
        <w:t xml:space="preserve"> ASOCIA 2030. Informe Luz sobre la Implementación de La Agenda 2030 en Chile: Una Oportunidad Para Transformar al País, 2017. Disponible en: </w:t>
      </w:r>
      <w:hyperlink r:id="rId14" w:history="1">
        <w:r w:rsidRPr="00A534BF">
          <w:rPr>
            <w:rStyle w:val="Hipervnculo"/>
            <w:rFonts w:ascii="Times New Roman" w:hAnsi="Times New Roman" w:cs="Times New Roman"/>
            <w:lang w:val="es-ES"/>
          </w:rPr>
          <w:t>https://www.fundacioncolunga.org/wp-content/uploads/2017/09/Informe-Luz-Asocia2030-finallow.pdf</w:t>
        </w:r>
      </w:hyperlink>
      <w:r w:rsidRPr="00A534BF">
        <w:rPr>
          <w:rFonts w:ascii="Times New Roman" w:hAnsi="Times New Roman" w:cs="Times New Roman"/>
          <w:lang w:val="es-ES"/>
        </w:rPr>
        <w:t>. Acceso: 2 noviembre 2017</w:t>
      </w:r>
    </w:p>
  </w:footnote>
  <w:footnote w:id="34">
    <w:p w14:paraId="1EA1533A" w14:textId="55896CF8" w:rsidR="00AF652C" w:rsidRPr="00A534BF" w:rsidRDefault="00AF652C">
      <w:pPr>
        <w:pStyle w:val="Textonotapie"/>
        <w:rPr>
          <w:rFonts w:ascii="Times New Roman" w:hAnsi="Times New Roman" w:cs="Times New Roman"/>
          <w:lang w:val="es-ES_tradnl"/>
        </w:rPr>
      </w:pPr>
      <w:r w:rsidRPr="00A534BF">
        <w:rPr>
          <w:rStyle w:val="Refdenotaalpie"/>
          <w:rFonts w:ascii="Times New Roman" w:hAnsi="Times New Roman" w:cs="Times New Roman"/>
        </w:rPr>
        <w:footnoteRef/>
      </w:r>
      <w:r w:rsidRPr="00641EE6">
        <w:rPr>
          <w:rFonts w:ascii="Times New Roman" w:hAnsi="Times New Roman" w:cs="Times New Roman"/>
          <w:lang w:val="es-PY"/>
        </w:rPr>
        <w:t xml:space="preserve"> </w:t>
      </w:r>
      <w:r w:rsidRPr="00A534BF">
        <w:rPr>
          <w:rFonts w:ascii="Times New Roman" w:hAnsi="Times New Roman" w:cs="Times New Roman"/>
          <w:i/>
          <w:lang w:val="es-AR"/>
        </w:rPr>
        <w:t xml:space="preserve">OMS (2018) </w:t>
      </w:r>
      <w:r w:rsidRPr="00A534BF">
        <w:rPr>
          <w:rFonts w:ascii="Times New Roman" w:hAnsi="Times New Roman" w:cs="Times New Roman"/>
          <w:lang w:val="es-AR"/>
        </w:rPr>
        <w:t xml:space="preserve">Informe de la Comisión Independiente de Alto Nivel de la OMS sobre Enfermedades No Transmisibles. Disponible en:  </w:t>
      </w:r>
      <w:hyperlink r:id="rId15" w:history="1">
        <w:r w:rsidRPr="00A534BF">
          <w:rPr>
            <w:rStyle w:val="Hipervnculo"/>
            <w:rFonts w:ascii="Times New Roman" w:hAnsi="Times New Roman" w:cs="Times New Roman"/>
            <w:lang w:val="es-AR"/>
          </w:rPr>
          <w:t>http://apps.who.int/iris/bitstream/handle/10665/272712/9789243514161-spa.pdf?ua=1</w:t>
        </w:r>
      </w:hyperlink>
      <w:r w:rsidRPr="00A534BF">
        <w:rPr>
          <w:rFonts w:ascii="Times New Roman" w:hAnsi="Times New Roman" w:cs="Times New Roman"/>
          <w:lang w:val="es-AR"/>
        </w:rPr>
        <w:t xml:space="preserve"> . </w:t>
      </w:r>
      <w:r w:rsidRPr="00641EE6">
        <w:rPr>
          <w:rFonts w:ascii="Times New Roman" w:hAnsi="Times New Roman" w:cs="Times New Roman"/>
          <w:lang w:val="es-PY"/>
        </w:rPr>
        <w:t>Acceso 8 de junio de 2018</w:t>
      </w:r>
    </w:p>
  </w:footnote>
  <w:footnote w:id="35">
    <w:p w14:paraId="5F3E97BD" w14:textId="539F3199" w:rsidR="00AF652C" w:rsidRPr="00A534BF" w:rsidRDefault="00AF652C">
      <w:pPr>
        <w:pStyle w:val="Textonotapie"/>
        <w:rPr>
          <w:rFonts w:ascii="Times New Roman" w:hAnsi="Times New Roman" w:cs="Times New Roman"/>
          <w:lang w:val="es-ES_tradnl"/>
        </w:rPr>
      </w:pPr>
      <w:r w:rsidRPr="00A534BF">
        <w:rPr>
          <w:rStyle w:val="Refdenotaalpie"/>
          <w:rFonts w:ascii="Times New Roman" w:hAnsi="Times New Roman" w:cs="Times New Roman"/>
        </w:rPr>
        <w:footnoteRef/>
      </w:r>
      <w:r w:rsidRPr="00641EE6">
        <w:rPr>
          <w:rFonts w:ascii="Times New Roman" w:hAnsi="Times New Roman" w:cs="Times New Roman"/>
          <w:lang w:val="es-PY"/>
        </w:rPr>
        <w:t xml:space="preserve"> </w:t>
      </w:r>
      <w:r w:rsidRPr="00A534BF">
        <w:rPr>
          <w:rFonts w:ascii="Times New Roman" w:hAnsi="Times New Roman" w:cs="Times New Roman"/>
          <w:lang w:val="es-ES_tradnl"/>
        </w:rPr>
        <w:t xml:space="preserve">Ya se han dado importantes pasos al respecto, como por ejemplo con la Estrategia MERCOSUR para el Control del Tabaquismo.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E2AD7"/>
    <w:multiLevelType w:val="hybridMultilevel"/>
    <w:tmpl w:val="63B828DE"/>
    <w:lvl w:ilvl="0" w:tplc="0C0A0009">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52F137BB"/>
    <w:multiLevelType w:val="hybridMultilevel"/>
    <w:tmpl w:val="6C2EB106"/>
    <w:lvl w:ilvl="0" w:tplc="04160001">
      <w:start w:val="1"/>
      <w:numFmt w:val="bullet"/>
      <w:lvlText w:val=""/>
      <w:lvlJc w:val="left"/>
      <w:pPr>
        <w:ind w:left="153" w:hanging="360"/>
      </w:pPr>
      <w:rPr>
        <w:rFonts w:ascii="Symbol" w:hAnsi="Symbol" w:hint="default"/>
      </w:rPr>
    </w:lvl>
    <w:lvl w:ilvl="1" w:tplc="04160003" w:tentative="1">
      <w:start w:val="1"/>
      <w:numFmt w:val="bullet"/>
      <w:lvlText w:val="o"/>
      <w:lvlJc w:val="left"/>
      <w:pPr>
        <w:ind w:left="873" w:hanging="360"/>
      </w:pPr>
      <w:rPr>
        <w:rFonts w:ascii="Courier New" w:hAnsi="Courier New" w:cs="Courier New" w:hint="default"/>
      </w:rPr>
    </w:lvl>
    <w:lvl w:ilvl="2" w:tplc="04160005" w:tentative="1">
      <w:start w:val="1"/>
      <w:numFmt w:val="bullet"/>
      <w:lvlText w:val=""/>
      <w:lvlJc w:val="left"/>
      <w:pPr>
        <w:ind w:left="1593" w:hanging="360"/>
      </w:pPr>
      <w:rPr>
        <w:rFonts w:ascii="Wingdings" w:hAnsi="Wingdings" w:hint="default"/>
      </w:rPr>
    </w:lvl>
    <w:lvl w:ilvl="3" w:tplc="04160001" w:tentative="1">
      <w:start w:val="1"/>
      <w:numFmt w:val="bullet"/>
      <w:lvlText w:val=""/>
      <w:lvlJc w:val="left"/>
      <w:pPr>
        <w:ind w:left="2313" w:hanging="360"/>
      </w:pPr>
      <w:rPr>
        <w:rFonts w:ascii="Symbol" w:hAnsi="Symbol" w:hint="default"/>
      </w:rPr>
    </w:lvl>
    <w:lvl w:ilvl="4" w:tplc="04160003" w:tentative="1">
      <w:start w:val="1"/>
      <w:numFmt w:val="bullet"/>
      <w:lvlText w:val="o"/>
      <w:lvlJc w:val="left"/>
      <w:pPr>
        <w:ind w:left="3033" w:hanging="360"/>
      </w:pPr>
      <w:rPr>
        <w:rFonts w:ascii="Courier New" w:hAnsi="Courier New" w:cs="Courier New" w:hint="default"/>
      </w:rPr>
    </w:lvl>
    <w:lvl w:ilvl="5" w:tplc="04160005" w:tentative="1">
      <w:start w:val="1"/>
      <w:numFmt w:val="bullet"/>
      <w:lvlText w:val=""/>
      <w:lvlJc w:val="left"/>
      <w:pPr>
        <w:ind w:left="3753" w:hanging="360"/>
      </w:pPr>
      <w:rPr>
        <w:rFonts w:ascii="Wingdings" w:hAnsi="Wingdings" w:hint="default"/>
      </w:rPr>
    </w:lvl>
    <w:lvl w:ilvl="6" w:tplc="04160001" w:tentative="1">
      <w:start w:val="1"/>
      <w:numFmt w:val="bullet"/>
      <w:lvlText w:val=""/>
      <w:lvlJc w:val="left"/>
      <w:pPr>
        <w:ind w:left="4473" w:hanging="360"/>
      </w:pPr>
      <w:rPr>
        <w:rFonts w:ascii="Symbol" w:hAnsi="Symbol" w:hint="default"/>
      </w:rPr>
    </w:lvl>
    <w:lvl w:ilvl="7" w:tplc="04160003" w:tentative="1">
      <w:start w:val="1"/>
      <w:numFmt w:val="bullet"/>
      <w:lvlText w:val="o"/>
      <w:lvlJc w:val="left"/>
      <w:pPr>
        <w:ind w:left="5193" w:hanging="360"/>
      </w:pPr>
      <w:rPr>
        <w:rFonts w:ascii="Courier New" w:hAnsi="Courier New" w:cs="Courier New" w:hint="default"/>
      </w:rPr>
    </w:lvl>
    <w:lvl w:ilvl="8" w:tplc="04160005" w:tentative="1">
      <w:start w:val="1"/>
      <w:numFmt w:val="bullet"/>
      <w:lvlText w:val=""/>
      <w:lvlJc w:val="left"/>
      <w:pPr>
        <w:ind w:left="5913"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401"/>
    <w:rsid w:val="000076C3"/>
    <w:rsid w:val="000128C1"/>
    <w:rsid w:val="00016CD9"/>
    <w:rsid w:val="00042528"/>
    <w:rsid w:val="00047CD0"/>
    <w:rsid w:val="000517C0"/>
    <w:rsid w:val="000B0DD1"/>
    <w:rsid w:val="001454B8"/>
    <w:rsid w:val="0016585C"/>
    <w:rsid w:val="00174094"/>
    <w:rsid w:val="00196F98"/>
    <w:rsid w:val="001B3DB8"/>
    <w:rsid w:val="001E3CE9"/>
    <w:rsid w:val="001F479D"/>
    <w:rsid w:val="001F6F6F"/>
    <w:rsid w:val="00265293"/>
    <w:rsid w:val="00267790"/>
    <w:rsid w:val="002955B8"/>
    <w:rsid w:val="002A065A"/>
    <w:rsid w:val="003026A7"/>
    <w:rsid w:val="00303AC9"/>
    <w:rsid w:val="00310D6A"/>
    <w:rsid w:val="003530E2"/>
    <w:rsid w:val="003741FA"/>
    <w:rsid w:val="003A2FF7"/>
    <w:rsid w:val="003B74A4"/>
    <w:rsid w:val="003E2435"/>
    <w:rsid w:val="003E3F6E"/>
    <w:rsid w:val="00432646"/>
    <w:rsid w:val="0045096F"/>
    <w:rsid w:val="004652F1"/>
    <w:rsid w:val="004B3610"/>
    <w:rsid w:val="004D69EC"/>
    <w:rsid w:val="0053057D"/>
    <w:rsid w:val="00547063"/>
    <w:rsid w:val="00551ED2"/>
    <w:rsid w:val="005A212F"/>
    <w:rsid w:val="005D0ACD"/>
    <w:rsid w:val="005F2CD4"/>
    <w:rsid w:val="00620537"/>
    <w:rsid w:val="0062708E"/>
    <w:rsid w:val="00641EE6"/>
    <w:rsid w:val="00647672"/>
    <w:rsid w:val="00684523"/>
    <w:rsid w:val="006963EF"/>
    <w:rsid w:val="006B5594"/>
    <w:rsid w:val="006B69F8"/>
    <w:rsid w:val="006E458D"/>
    <w:rsid w:val="006E7992"/>
    <w:rsid w:val="006F1486"/>
    <w:rsid w:val="006F7B25"/>
    <w:rsid w:val="00706A64"/>
    <w:rsid w:val="00750392"/>
    <w:rsid w:val="00772C61"/>
    <w:rsid w:val="00792F8D"/>
    <w:rsid w:val="007A24A0"/>
    <w:rsid w:val="007A4401"/>
    <w:rsid w:val="007A57AF"/>
    <w:rsid w:val="007C4DF2"/>
    <w:rsid w:val="007C7375"/>
    <w:rsid w:val="007E089A"/>
    <w:rsid w:val="00824741"/>
    <w:rsid w:val="00825B24"/>
    <w:rsid w:val="00837386"/>
    <w:rsid w:val="00854DF0"/>
    <w:rsid w:val="008559E9"/>
    <w:rsid w:val="00872C6A"/>
    <w:rsid w:val="0087604D"/>
    <w:rsid w:val="0088088C"/>
    <w:rsid w:val="008C3A4C"/>
    <w:rsid w:val="008C4F62"/>
    <w:rsid w:val="008D4F7C"/>
    <w:rsid w:val="00903D78"/>
    <w:rsid w:val="0091586B"/>
    <w:rsid w:val="009272F3"/>
    <w:rsid w:val="00930C73"/>
    <w:rsid w:val="00940E62"/>
    <w:rsid w:val="00970BDF"/>
    <w:rsid w:val="009732CA"/>
    <w:rsid w:val="009C30E3"/>
    <w:rsid w:val="009C56E7"/>
    <w:rsid w:val="00A057F5"/>
    <w:rsid w:val="00A534BF"/>
    <w:rsid w:val="00A819BF"/>
    <w:rsid w:val="00AB5EF1"/>
    <w:rsid w:val="00AD5D40"/>
    <w:rsid w:val="00AF652C"/>
    <w:rsid w:val="00B202EF"/>
    <w:rsid w:val="00B36ADB"/>
    <w:rsid w:val="00B74170"/>
    <w:rsid w:val="00BA0BA6"/>
    <w:rsid w:val="00BA0DC7"/>
    <w:rsid w:val="00BB4F36"/>
    <w:rsid w:val="00BC20EA"/>
    <w:rsid w:val="00BE1684"/>
    <w:rsid w:val="00C12227"/>
    <w:rsid w:val="00C23D80"/>
    <w:rsid w:val="00C505B0"/>
    <w:rsid w:val="00C65A6E"/>
    <w:rsid w:val="00C67A23"/>
    <w:rsid w:val="00C77711"/>
    <w:rsid w:val="00CD349E"/>
    <w:rsid w:val="00D513C5"/>
    <w:rsid w:val="00DA22C3"/>
    <w:rsid w:val="00DB0FE0"/>
    <w:rsid w:val="00DD0E9F"/>
    <w:rsid w:val="00DD4C64"/>
    <w:rsid w:val="00DD6B44"/>
    <w:rsid w:val="00DD6D4B"/>
    <w:rsid w:val="00DF08EA"/>
    <w:rsid w:val="00E0070A"/>
    <w:rsid w:val="00E01457"/>
    <w:rsid w:val="00E205CA"/>
    <w:rsid w:val="00E21EC2"/>
    <w:rsid w:val="00E30EC8"/>
    <w:rsid w:val="00E32564"/>
    <w:rsid w:val="00E36992"/>
    <w:rsid w:val="00E62247"/>
    <w:rsid w:val="00E63D37"/>
    <w:rsid w:val="00E73F4C"/>
    <w:rsid w:val="00E7646D"/>
    <w:rsid w:val="00E76DC6"/>
    <w:rsid w:val="00EC3A84"/>
    <w:rsid w:val="00EE2672"/>
    <w:rsid w:val="00EF786A"/>
    <w:rsid w:val="00F1547E"/>
    <w:rsid w:val="00F27164"/>
    <w:rsid w:val="00F30204"/>
    <w:rsid w:val="00F3714E"/>
    <w:rsid w:val="00FA63C6"/>
    <w:rsid w:val="00FD1850"/>
    <w:rsid w:val="00FF21BA"/>
    <w:rsid w:val="00FF6F00"/>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4A2240"/>
  <w15:docId w15:val="{F01474CB-8772-4223-A902-C70275E0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F30204"/>
    <w:pPr>
      <w:spacing w:before="100" w:beforeAutospacing="1" w:after="100" w:afterAutospacing="1" w:line="240" w:lineRule="auto"/>
      <w:outlineLvl w:val="0"/>
    </w:pPr>
    <w:rPr>
      <w:rFonts w:ascii="Times" w:hAnsi="Times"/>
      <w:b/>
      <w:bCs/>
      <w:kern w:val="36"/>
      <w:sz w:val="48"/>
      <w:szCs w:val="48"/>
      <w:lang w:val="es-AR"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BA0DC7"/>
    <w:pPr>
      <w:spacing w:after="0" w:line="240" w:lineRule="auto"/>
    </w:pPr>
    <w:rPr>
      <w:sz w:val="20"/>
      <w:szCs w:val="20"/>
    </w:rPr>
  </w:style>
  <w:style w:type="character" w:customStyle="1" w:styleId="TextonotapieCar">
    <w:name w:val="Texto nota pie Car"/>
    <w:basedOn w:val="Fuentedeprrafopredeter"/>
    <w:link w:val="Textonotapie"/>
    <w:uiPriority w:val="99"/>
    <w:rsid w:val="00BA0DC7"/>
    <w:rPr>
      <w:sz w:val="20"/>
      <w:szCs w:val="20"/>
    </w:rPr>
  </w:style>
  <w:style w:type="character" w:styleId="Refdenotaalpie">
    <w:name w:val="footnote reference"/>
    <w:aliases w:val="Ref,de nota al pie"/>
    <w:basedOn w:val="Fuentedeprrafopredeter"/>
    <w:unhideWhenUsed/>
    <w:rsid w:val="00BA0DC7"/>
    <w:rPr>
      <w:vertAlign w:val="superscript"/>
    </w:rPr>
  </w:style>
  <w:style w:type="paragraph" w:customStyle="1" w:styleId="Default">
    <w:name w:val="Default"/>
    <w:rsid w:val="00267790"/>
    <w:pPr>
      <w:autoSpaceDE w:val="0"/>
      <w:autoSpaceDN w:val="0"/>
      <w:adjustRightInd w:val="0"/>
      <w:spacing w:after="0" w:line="240" w:lineRule="auto"/>
    </w:pPr>
    <w:rPr>
      <w:rFonts w:ascii="Calibri" w:hAnsi="Calibri" w:cs="Calibri"/>
      <w:color w:val="000000"/>
      <w:sz w:val="24"/>
      <w:szCs w:val="24"/>
    </w:rPr>
  </w:style>
  <w:style w:type="paragraph" w:styleId="Sinespaciado">
    <w:name w:val="No Spacing"/>
    <w:uiPriority w:val="1"/>
    <w:qFormat/>
    <w:rsid w:val="009C56E7"/>
    <w:pPr>
      <w:spacing w:after="0" w:line="240" w:lineRule="auto"/>
    </w:pPr>
  </w:style>
  <w:style w:type="character" w:styleId="Hipervnculo">
    <w:name w:val="Hyperlink"/>
    <w:basedOn w:val="Fuentedeprrafopredeter"/>
    <w:uiPriority w:val="99"/>
    <w:unhideWhenUsed/>
    <w:rsid w:val="009C56E7"/>
    <w:rPr>
      <w:color w:val="0563C1" w:themeColor="hyperlink"/>
      <w:u w:val="single"/>
    </w:rPr>
  </w:style>
  <w:style w:type="table" w:styleId="Tablaconcuadrcula">
    <w:name w:val="Table Grid"/>
    <w:basedOn w:val="Tablanormal"/>
    <w:uiPriority w:val="39"/>
    <w:rsid w:val="009C5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Fuentedeprrafopredeter"/>
    <w:rsid w:val="003A2FF7"/>
  </w:style>
  <w:style w:type="paragraph" w:styleId="Prrafodelista">
    <w:name w:val="List Paragraph"/>
    <w:basedOn w:val="Normal"/>
    <w:uiPriority w:val="34"/>
    <w:qFormat/>
    <w:rsid w:val="00E0070A"/>
    <w:pPr>
      <w:ind w:left="720"/>
      <w:contextualSpacing/>
    </w:pPr>
  </w:style>
  <w:style w:type="table" w:customStyle="1" w:styleId="TabelaSimples41">
    <w:name w:val="Tabela Simples 41"/>
    <w:basedOn w:val="Tablanormal"/>
    <w:uiPriority w:val="44"/>
    <w:rsid w:val="006B69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n">
    <w:name w:val="Revision"/>
    <w:hidden/>
    <w:uiPriority w:val="99"/>
    <w:semiHidden/>
    <w:rsid w:val="00BE1684"/>
    <w:pPr>
      <w:spacing w:after="0" w:line="240" w:lineRule="auto"/>
    </w:pPr>
  </w:style>
  <w:style w:type="paragraph" w:styleId="Textodeglobo">
    <w:name w:val="Balloon Text"/>
    <w:basedOn w:val="Normal"/>
    <w:link w:val="TextodegloboCar"/>
    <w:uiPriority w:val="99"/>
    <w:semiHidden/>
    <w:unhideWhenUsed/>
    <w:rsid w:val="00BE16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E1684"/>
    <w:rPr>
      <w:rFonts w:ascii="Segoe UI" w:hAnsi="Segoe UI" w:cs="Segoe UI"/>
      <w:sz w:val="18"/>
      <w:szCs w:val="18"/>
    </w:rPr>
  </w:style>
  <w:style w:type="character" w:styleId="Refdecomentario">
    <w:name w:val="annotation reference"/>
    <w:basedOn w:val="Fuentedeprrafopredeter"/>
    <w:uiPriority w:val="99"/>
    <w:semiHidden/>
    <w:unhideWhenUsed/>
    <w:rsid w:val="00CD349E"/>
    <w:rPr>
      <w:sz w:val="16"/>
      <w:szCs w:val="16"/>
    </w:rPr>
  </w:style>
  <w:style w:type="paragraph" w:styleId="Textocomentario">
    <w:name w:val="annotation text"/>
    <w:basedOn w:val="Normal"/>
    <w:link w:val="TextocomentarioCar"/>
    <w:uiPriority w:val="99"/>
    <w:semiHidden/>
    <w:unhideWhenUsed/>
    <w:rsid w:val="00CD349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D349E"/>
    <w:rPr>
      <w:sz w:val="20"/>
      <w:szCs w:val="20"/>
    </w:rPr>
  </w:style>
  <w:style w:type="paragraph" w:styleId="Asuntodelcomentario">
    <w:name w:val="annotation subject"/>
    <w:basedOn w:val="Textocomentario"/>
    <w:next w:val="Textocomentario"/>
    <w:link w:val="AsuntodelcomentarioCar"/>
    <w:uiPriority w:val="99"/>
    <w:semiHidden/>
    <w:unhideWhenUsed/>
    <w:rsid w:val="00CD349E"/>
    <w:rPr>
      <w:b/>
      <w:bCs/>
    </w:rPr>
  </w:style>
  <w:style w:type="character" w:customStyle="1" w:styleId="AsuntodelcomentarioCar">
    <w:name w:val="Asunto del comentario Car"/>
    <w:basedOn w:val="TextocomentarioCar"/>
    <w:link w:val="Asuntodelcomentario"/>
    <w:uiPriority w:val="99"/>
    <w:semiHidden/>
    <w:rsid w:val="00CD349E"/>
    <w:rPr>
      <w:b/>
      <w:bCs/>
      <w:sz w:val="20"/>
      <w:szCs w:val="20"/>
    </w:rPr>
  </w:style>
  <w:style w:type="paragraph" w:styleId="NormalWeb">
    <w:name w:val="Normal (Web)"/>
    <w:basedOn w:val="Normal"/>
    <w:uiPriority w:val="99"/>
    <w:semiHidden/>
    <w:unhideWhenUsed/>
    <w:rsid w:val="000517C0"/>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Textonotaalfinal">
    <w:name w:val="endnote text"/>
    <w:basedOn w:val="Normal"/>
    <w:link w:val="TextonotaalfinalCar"/>
    <w:uiPriority w:val="99"/>
    <w:unhideWhenUsed/>
    <w:rsid w:val="006B5594"/>
    <w:pPr>
      <w:spacing w:after="0" w:line="240" w:lineRule="auto"/>
    </w:pPr>
    <w:rPr>
      <w:sz w:val="20"/>
      <w:szCs w:val="20"/>
    </w:rPr>
  </w:style>
  <w:style w:type="character" w:customStyle="1" w:styleId="TextonotaalfinalCar">
    <w:name w:val="Texto nota al final Car"/>
    <w:basedOn w:val="Fuentedeprrafopredeter"/>
    <w:link w:val="Textonotaalfinal"/>
    <w:uiPriority w:val="99"/>
    <w:rsid w:val="006B5594"/>
    <w:rPr>
      <w:sz w:val="20"/>
      <w:szCs w:val="20"/>
    </w:rPr>
  </w:style>
  <w:style w:type="character" w:styleId="Refdenotaalfinal">
    <w:name w:val="endnote reference"/>
    <w:basedOn w:val="Fuentedeprrafopredeter"/>
    <w:uiPriority w:val="99"/>
    <w:unhideWhenUsed/>
    <w:rsid w:val="006B5594"/>
    <w:rPr>
      <w:vertAlign w:val="superscript"/>
    </w:rPr>
  </w:style>
  <w:style w:type="character" w:customStyle="1" w:styleId="Hyperlink4">
    <w:name w:val="Hyperlink.4"/>
    <w:basedOn w:val="Fuentedeprrafopredeter"/>
    <w:rsid w:val="00A819BF"/>
    <w:rPr>
      <w:rFonts w:ascii="Calibri" w:eastAsia="Calibri" w:hAnsi="Calibri" w:cs="Calibri"/>
      <w:color w:val="0000FF"/>
      <w:sz w:val="20"/>
      <w:szCs w:val="20"/>
      <w:u w:val="single"/>
    </w:rPr>
  </w:style>
  <w:style w:type="character" w:customStyle="1" w:styleId="Hyperlink6">
    <w:name w:val="Hyperlink.6"/>
    <w:basedOn w:val="Fuentedeprrafopredeter"/>
    <w:rsid w:val="00A819BF"/>
    <w:rPr>
      <w:rFonts w:ascii="Calibri" w:eastAsia="Calibri" w:hAnsi="Calibri" w:cs="Calibri"/>
      <w:color w:val="011EA9"/>
      <w:sz w:val="20"/>
      <w:szCs w:val="20"/>
      <w:u w:val="single"/>
    </w:rPr>
  </w:style>
  <w:style w:type="character" w:customStyle="1" w:styleId="Ttulo1Car">
    <w:name w:val="Título 1 Car"/>
    <w:basedOn w:val="Fuentedeprrafopredeter"/>
    <w:link w:val="Ttulo1"/>
    <w:uiPriority w:val="9"/>
    <w:rsid w:val="00F30204"/>
    <w:rPr>
      <w:rFonts w:ascii="Times" w:hAnsi="Times"/>
      <w:b/>
      <w:bCs/>
      <w:kern w:val="36"/>
      <w:sz w:val="48"/>
      <w:szCs w:val="48"/>
      <w:lang w:val="es-AR" w:eastAsia="es-ES"/>
    </w:rPr>
  </w:style>
  <w:style w:type="character" w:styleId="Hipervnculovisitado">
    <w:name w:val="FollowedHyperlink"/>
    <w:basedOn w:val="Fuentedeprrafopredeter"/>
    <w:uiPriority w:val="99"/>
    <w:semiHidden/>
    <w:unhideWhenUsed/>
    <w:rsid w:val="006845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83056">
      <w:bodyDiv w:val="1"/>
      <w:marLeft w:val="0"/>
      <w:marRight w:val="0"/>
      <w:marTop w:val="0"/>
      <w:marBottom w:val="0"/>
      <w:divBdr>
        <w:top w:val="none" w:sz="0" w:space="0" w:color="auto"/>
        <w:left w:val="none" w:sz="0" w:space="0" w:color="auto"/>
        <w:bottom w:val="none" w:sz="0" w:space="0" w:color="auto"/>
        <w:right w:val="none" w:sz="0" w:space="0" w:color="auto"/>
      </w:divBdr>
      <w:divsChild>
        <w:div w:id="1292127948">
          <w:marLeft w:val="0"/>
          <w:marRight w:val="0"/>
          <w:marTop w:val="0"/>
          <w:marBottom w:val="0"/>
          <w:divBdr>
            <w:top w:val="none" w:sz="0" w:space="0" w:color="auto"/>
            <w:left w:val="none" w:sz="0" w:space="0" w:color="auto"/>
            <w:bottom w:val="none" w:sz="0" w:space="0" w:color="auto"/>
            <w:right w:val="none" w:sz="0" w:space="0" w:color="auto"/>
          </w:divBdr>
          <w:divsChild>
            <w:div w:id="1685206812">
              <w:marLeft w:val="0"/>
              <w:marRight w:val="0"/>
              <w:marTop w:val="0"/>
              <w:marBottom w:val="0"/>
              <w:divBdr>
                <w:top w:val="none" w:sz="0" w:space="0" w:color="auto"/>
                <w:left w:val="none" w:sz="0" w:space="0" w:color="auto"/>
                <w:bottom w:val="none" w:sz="0" w:space="0" w:color="auto"/>
                <w:right w:val="none" w:sz="0" w:space="0" w:color="auto"/>
              </w:divBdr>
              <w:divsChild>
                <w:div w:id="1958640007">
                  <w:marLeft w:val="0"/>
                  <w:marRight w:val="0"/>
                  <w:marTop w:val="0"/>
                  <w:marBottom w:val="0"/>
                  <w:divBdr>
                    <w:top w:val="none" w:sz="0" w:space="0" w:color="auto"/>
                    <w:left w:val="none" w:sz="0" w:space="0" w:color="auto"/>
                    <w:bottom w:val="none" w:sz="0" w:space="0" w:color="auto"/>
                    <w:right w:val="none" w:sz="0" w:space="0" w:color="auto"/>
                  </w:divBdr>
                  <w:divsChild>
                    <w:div w:id="1797526702">
                      <w:marLeft w:val="0"/>
                      <w:marRight w:val="0"/>
                      <w:marTop w:val="0"/>
                      <w:marBottom w:val="0"/>
                      <w:divBdr>
                        <w:top w:val="none" w:sz="0" w:space="0" w:color="auto"/>
                        <w:left w:val="none" w:sz="0" w:space="0" w:color="auto"/>
                        <w:bottom w:val="none" w:sz="0" w:space="0" w:color="auto"/>
                        <w:right w:val="none" w:sz="0" w:space="0" w:color="auto"/>
                      </w:divBdr>
                      <w:divsChild>
                        <w:div w:id="947783360">
                          <w:marLeft w:val="0"/>
                          <w:marRight w:val="0"/>
                          <w:marTop w:val="0"/>
                          <w:marBottom w:val="0"/>
                          <w:divBdr>
                            <w:top w:val="none" w:sz="0" w:space="0" w:color="auto"/>
                            <w:left w:val="none" w:sz="0" w:space="0" w:color="auto"/>
                            <w:bottom w:val="none" w:sz="0" w:space="0" w:color="auto"/>
                            <w:right w:val="none" w:sz="0" w:space="0" w:color="auto"/>
                          </w:divBdr>
                          <w:divsChild>
                            <w:div w:id="1939170526">
                              <w:marLeft w:val="0"/>
                              <w:marRight w:val="0"/>
                              <w:marTop w:val="0"/>
                              <w:marBottom w:val="0"/>
                              <w:divBdr>
                                <w:top w:val="none" w:sz="0" w:space="0" w:color="auto"/>
                                <w:left w:val="none" w:sz="0" w:space="0" w:color="auto"/>
                                <w:bottom w:val="none" w:sz="0" w:space="0" w:color="auto"/>
                                <w:right w:val="none" w:sz="0" w:space="0" w:color="auto"/>
                              </w:divBdr>
                              <w:divsChild>
                                <w:div w:id="142546158">
                                  <w:marLeft w:val="0"/>
                                  <w:marRight w:val="0"/>
                                  <w:marTop w:val="0"/>
                                  <w:marBottom w:val="0"/>
                                  <w:divBdr>
                                    <w:top w:val="none" w:sz="0" w:space="0" w:color="auto"/>
                                    <w:left w:val="none" w:sz="0" w:space="0" w:color="auto"/>
                                    <w:bottom w:val="none" w:sz="0" w:space="0" w:color="auto"/>
                                    <w:right w:val="none" w:sz="0" w:space="0" w:color="auto"/>
                                  </w:divBdr>
                                  <w:divsChild>
                                    <w:div w:id="550579827">
                                      <w:marLeft w:val="60"/>
                                      <w:marRight w:val="0"/>
                                      <w:marTop w:val="0"/>
                                      <w:marBottom w:val="0"/>
                                      <w:divBdr>
                                        <w:top w:val="none" w:sz="0" w:space="0" w:color="auto"/>
                                        <w:left w:val="none" w:sz="0" w:space="0" w:color="auto"/>
                                        <w:bottom w:val="none" w:sz="0" w:space="0" w:color="auto"/>
                                        <w:right w:val="none" w:sz="0" w:space="0" w:color="auto"/>
                                      </w:divBdr>
                                      <w:divsChild>
                                        <w:div w:id="1583879707">
                                          <w:marLeft w:val="0"/>
                                          <w:marRight w:val="0"/>
                                          <w:marTop w:val="0"/>
                                          <w:marBottom w:val="0"/>
                                          <w:divBdr>
                                            <w:top w:val="none" w:sz="0" w:space="0" w:color="auto"/>
                                            <w:left w:val="none" w:sz="0" w:space="0" w:color="auto"/>
                                            <w:bottom w:val="none" w:sz="0" w:space="0" w:color="auto"/>
                                            <w:right w:val="none" w:sz="0" w:space="0" w:color="auto"/>
                                          </w:divBdr>
                                          <w:divsChild>
                                            <w:div w:id="1044449707">
                                              <w:marLeft w:val="0"/>
                                              <w:marRight w:val="0"/>
                                              <w:marTop w:val="0"/>
                                              <w:marBottom w:val="120"/>
                                              <w:divBdr>
                                                <w:top w:val="single" w:sz="6" w:space="0" w:color="F5F5F5"/>
                                                <w:left w:val="single" w:sz="6" w:space="0" w:color="F5F5F5"/>
                                                <w:bottom w:val="single" w:sz="6" w:space="0" w:color="F5F5F5"/>
                                                <w:right w:val="single" w:sz="6" w:space="0" w:color="F5F5F5"/>
                                              </w:divBdr>
                                              <w:divsChild>
                                                <w:div w:id="390076469">
                                                  <w:marLeft w:val="0"/>
                                                  <w:marRight w:val="0"/>
                                                  <w:marTop w:val="0"/>
                                                  <w:marBottom w:val="0"/>
                                                  <w:divBdr>
                                                    <w:top w:val="none" w:sz="0" w:space="0" w:color="auto"/>
                                                    <w:left w:val="none" w:sz="0" w:space="0" w:color="auto"/>
                                                    <w:bottom w:val="none" w:sz="0" w:space="0" w:color="auto"/>
                                                    <w:right w:val="none" w:sz="0" w:space="0" w:color="auto"/>
                                                  </w:divBdr>
                                                  <w:divsChild>
                                                    <w:div w:id="213051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646980">
      <w:bodyDiv w:val="1"/>
      <w:marLeft w:val="0"/>
      <w:marRight w:val="0"/>
      <w:marTop w:val="0"/>
      <w:marBottom w:val="0"/>
      <w:divBdr>
        <w:top w:val="none" w:sz="0" w:space="0" w:color="auto"/>
        <w:left w:val="none" w:sz="0" w:space="0" w:color="auto"/>
        <w:bottom w:val="none" w:sz="0" w:space="0" w:color="auto"/>
        <w:right w:val="none" w:sz="0" w:space="0" w:color="auto"/>
      </w:divBdr>
    </w:div>
    <w:div w:id="650720798">
      <w:bodyDiv w:val="1"/>
      <w:marLeft w:val="0"/>
      <w:marRight w:val="0"/>
      <w:marTop w:val="0"/>
      <w:marBottom w:val="0"/>
      <w:divBdr>
        <w:top w:val="none" w:sz="0" w:space="0" w:color="auto"/>
        <w:left w:val="none" w:sz="0" w:space="0" w:color="auto"/>
        <w:bottom w:val="none" w:sz="0" w:space="0" w:color="auto"/>
        <w:right w:val="none" w:sz="0" w:space="0" w:color="auto"/>
      </w:divBdr>
      <w:divsChild>
        <w:div w:id="958342121">
          <w:marLeft w:val="0"/>
          <w:marRight w:val="0"/>
          <w:marTop w:val="0"/>
          <w:marBottom w:val="0"/>
          <w:divBdr>
            <w:top w:val="none" w:sz="0" w:space="0" w:color="auto"/>
            <w:left w:val="none" w:sz="0" w:space="0" w:color="auto"/>
            <w:bottom w:val="none" w:sz="0" w:space="0" w:color="auto"/>
            <w:right w:val="none" w:sz="0" w:space="0" w:color="auto"/>
          </w:divBdr>
          <w:divsChild>
            <w:div w:id="590820380">
              <w:marLeft w:val="-225"/>
              <w:marRight w:val="-225"/>
              <w:marTop w:val="0"/>
              <w:marBottom w:val="0"/>
              <w:divBdr>
                <w:top w:val="none" w:sz="0" w:space="0" w:color="auto"/>
                <w:left w:val="none" w:sz="0" w:space="0" w:color="auto"/>
                <w:bottom w:val="none" w:sz="0" w:space="0" w:color="auto"/>
                <w:right w:val="none" w:sz="0" w:space="0" w:color="auto"/>
              </w:divBdr>
              <w:divsChild>
                <w:div w:id="1510873558">
                  <w:marLeft w:val="0"/>
                  <w:marRight w:val="0"/>
                  <w:marTop w:val="0"/>
                  <w:marBottom w:val="0"/>
                  <w:divBdr>
                    <w:top w:val="none" w:sz="0" w:space="0" w:color="auto"/>
                    <w:left w:val="none" w:sz="0" w:space="0" w:color="auto"/>
                    <w:bottom w:val="none" w:sz="0" w:space="0" w:color="auto"/>
                    <w:right w:val="none" w:sz="0" w:space="0" w:color="auto"/>
                  </w:divBdr>
                  <w:divsChild>
                    <w:div w:id="86276193">
                      <w:marLeft w:val="0"/>
                      <w:marRight w:val="0"/>
                      <w:marTop w:val="0"/>
                      <w:marBottom w:val="0"/>
                      <w:divBdr>
                        <w:top w:val="none" w:sz="0" w:space="0" w:color="auto"/>
                        <w:left w:val="none" w:sz="0" w:space="0" w:color="auto"/>
                        <w:bottom w:val="none" w:sz="0" w:space="0" w:color="auto"/>
                        <w:right w:val="none" w:sz="0" w:space="0" w:color="auto"/>
                      </w:divBdr>
                      <w:divsChild>
                        <w:div w:id="582182949">
                          <w:marLeft w:val="-225"/>
                          <w:marRight w:val="-225"/>
                          <w:marTop w:val="0"/>
                          <w:marBottom w:val="0"/>
                          <w:divBdr>
                            <w:top w:val="none" w:sz="0" w:space="0" w:color="auto"/>
                            <w:left w:val="none" w:sz="0" w:space="0" w:color="auto"/>
                            <w:bottom w:val="none" w:sz="0" w:space="0" w:color="auto"/>
                            <w:right w:val="none" w:sz="0" w:space="0" w:color="auto"/>
                          </w:divBdr>
                          <w:divsChild>
                            <w:div w:id="1660428778">
                              <w:marLeft w:val="0"/>
                              <w:marRight w:val="0"/>
                              <w:marTop w:val="0"/>
                              <w:marBottom w:val="0"/>
                              <w:divBdr>
                                <w:top w:val="none" w:sz="0" w:space="0" w:color="auto"/>
                                <w:left w:val="none" w:sz="0" w:space="0" w:color="auto"/>
                                <w:bottom w:val="none" w:sz="0" w:space="0" w:color="auto"/>
                                <w:right w:val="none" w:sz="0" w:space="0" w:color="auto"/>
                              </w:divBdr>
                              <w:divsChild>
                                <w:div w:id="693649255">
                                  <w:marLeft w:val="-225"/>
                                  <w:marRight w:val="-225"/>
                                  <w:marTop w:val="0"/>
                                  <w:marBottom w:val="0"/>
                                  <w:divBdr>
                                    <w:top w:val="none" w:sz="0" w:space="0" w:color="auto"/>
                                    <w:left w:val="none" w:sz="0" w:space="0" w:color="auto"/>
                                    <w:bottom w:val="none" w:sz="0" w:space="0" w:color="auto"/>
                                    <w:right w:val="none" w:sz="0" w:space="0" w:color="auto"/>
                                  </w:divBdr>
                                  <w:divsChild>
                                    <w:div w:id="1358383280">
                                      <w:marLeft w:val="0"/>
                                      <w:marRight w:val="0"/>
                                      <w:marTop w:val="0"/>
                                      <w:marBottom w:val="0"/>
                                      <w:divBdr>
                                        <w:top w:val="none" w:sz="0" w:space="0" w:color="auto"/>
                                        <w:left w:val="none" w:sz="0" w:space="0" w:color="auto"/>
                                        <w:bottom w:val="none" w:sz="0" w:space="0" w:color="auto"/>
                                        <w:right w:val="none" w:sz="0" w:space="0" w:color="auto"/>
                                      </w:divBdr>
                                      <w:divsChild>
                                        <w:div w:id="179571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1259108">
      <w:bodyDiv w:val="1"/>
      <w:marLeft w:val="0"/>
      <w:marRight w:val="0"/>
      <w:marTop w:val="0"/>
      <w:marBottom w:val="0"/>
      <w:divBdr>
        <w:top w:val="none" w:sz="0" w:space="0" w:color="auto"/>
        <w:left w:val="none" w:sz="0" w:space="0" w:color="auto"/>
        <w:bottom w:val="none" w:sz="0" w:space="0" w:color="auto"/>
        <w:right w:val="none" w:sz="0" w:space="0" w:color="auto"/>
      </w:divBdr>
      <w:divsChild>
        <w:div w:id="1531608041">
          <w:marLeft w:val="0"/>
          <w:marRight w:val="0"/>
          <w:marTop w:val="0"/>
          <w:marBottom w:val="0"/>
          <w:divBdr>
            <w:top w:val="none" w:sz="0" w:space="0" w:color="auto"/>
            <w:left w:val="none" w:sz="0" w:space="0" w:color="auto"/>
            <w:bottom w:val="none" w:sz="0" w:space="0" w:color="auto"/>
            <w:right w:val="none" w:sz="0" w:space="0" w:color="auto"/>
          </w:divBdr>
          <w:divsChild>
            <w:div w:id="1337614512">
              <w:marLeft w:val="0"/>
              <w:marRight w:val="0"/>
              <w:marTop w:val="0"/>
              <w:marBottom w:val="0"/>
              <w:divBdr>
                <w:top w:val="none" w:sz="0" w:space="0" w:color="auto"/>
                <w:left w:val="none" w:sz="0" w:space="0" w:color="auto"/>
                <w:bottom w:val="none" w:sz="0" w:space="0" w:color="auto"/>
                <w:right w:val="none" w:sz="0" w:space="0" w:color="auto"/>
              </w:divBdr>
              <w:divsChild>
                <w:div w:id="1777362726">
                  <w:marLeft w:val="0"/>
                  <w:marRight w:val="0"/>
                  <w:marTop w:val="0"/>
                  <w:marBottom w:val="0"/>
                  <w:divBdr>
                    <w:top w:val="none" w:sz="0" w:space="0" w:color="auto"/>
                    <w:left w:val="none" w:sz="0" w:space="0" w:color="auto"/>
                    <w:bottom w:val="none" w:sz="0" w:space="0" w:color="auto"/>
                    <w:right w:val="none" w:sz="0" w:space="0" w:color="auto"/>
                  </w:divBdr>
                  <w:divsChild>
                    <w:div w:id="1859855949">
                      <w:marLeft w:val="0"/>
                      <w:marRight w:val="0"/>
                      <w:marTop w:val="0"/>
                      <w:marBottom w:val="0"/>
                      <w:divBdr>
                        <w:top w:val="none" w:sz="0" w:space="0" w:color="auto"/>
                        <w:left w:val="none" w:sz="0" w:space="0" w:color="auto"/>
                        <w:bottom w:val="none" w:sz="0" w:space="0" w:color="auto"/>
                        <w:right w:val="none" w:sz="0" w:space="0" w:color="auto"/>
                      </w:divBdr>
                      <w:divsChild>
                        <w:div w:id="199558404">
                          <w:marLeft w:val="0"/>
                          <w:marRight w:val="0"/>
                          <w:marTop w:val="0"/>
                          <w:marBottom w:val="0"/>
                          <w:divBdr>
                            <w:top w:val="none" w:sz="0" w:space="0" w:color="auto"/>
                            <w:left w:val="none" w:sz="0" w:space="0" w:color="auto"/>
                            <w:bottom w:val="none" w:sz="0" w:space="0" w:color="auto"/>
                            <w:right w:val="none" w:sz="0" w:space="0" w:color="auto"/>
                          </w:divBdr>
                          <w:divsChild>
                            <w:div w:id="1722634953">
                              <w:marLeft w:val="0"/>
                              <w:marRight w:val="0"/>
                              <w:marTop w:val="0"/>
                              <w:marBottom w:val="0"/>
                              <w:divBdr>
                                <w:top w:val="none" w:sz="0" w:space="0" w:color="auto"/>
                                <w:left w:val="none" w:sz="0" w:space="0" w:color="auto"/>
                                <w:bottom w:val="none" w:sz="0" w:space="0" w:color="auto"/>
                                <w:right w:val="none" w:sz="0" w:space="0" w:color="auto"/>
                              </w:divBdr>
                              <w:divsChild>
                                <w:div w:id="937064516">
                                  <w:marLeft w:val="0"/>
                                  <w:marRight w:val="0"/>
                                  <w:marTop w:val="0"/>
                                  <w:marBottom w:val="0"/>
                                  <w:divBdr>
                                    <w:top w:val="none" w:sz="0" w:space="0" w:color="auto"/>
                                    <w:left w:val="none" w:sz="0" w:space="0" w:color="auto"/>
                                    <w:bottom w:val="none" w:sz="0" w:space="0" w:color="auto"/>
                                    <w:right w:val="none" w:sz="0" w:space="0" w:color="auto"/>
                                  </w:divBdr>
                                  <w:divsChild>
                                    <w:div w:id="432550543">
                                      <w:marLeft w:val="60"/>
                                      <w:marRight w:val="0"/>
                                      <w:marTop w:val="0"/>
                                      <w:marBottom w:val="0"/>
                                      <w:divBdr>
                                        <w:top w:val="none" w:sz="0" w:space="0" w:color="auto"/>
                                        <w:left w:val="none" w:sz="0" w:space="0" w:color="auto"/>
                                        <w:bottom w:val="none" w:sz="0" w:space="0" w:color="auto"/>
                                        <w:right w:val="none" w:sz="0" w:space="0" w:color="auto"/>
                                      </w:divBdr>
                                      <w:divsChild>
                                        <w:div w:id="968705049">
                                          <w:marLeft w:val="0"/>
                                          <w:marRight w:val="0"/>
                                          <w:marTop w:val="0"/>
                                          <w:marBottom w:val="0"/>
                                          <w:divBdr>
                                            <w:top w:val="none" w:sz="0" w:space="0" w:color="auto"/>
                                            <w:left w:val="none" w:sz="0" w:space="0" w:color="auto"/>
                                            <w:bottom w:val="none" w:sz="0" w:space="0" w:color="auto"/>
                                            <w:right w:val="none" w:sz="0" w:space="0" w:color="auto"/>
                                          </w:divBdr>
                                          <w:divsChild>
                                            <w:div w:id="1633554591">
                                              <w:marLeft w:val="0"/>
                                              <w:marRight w:val="0"/>
                                              <w:marTop w:val="0"/>
                                              <w:marBottom w:val="120"/>
                                              <w:divBdr>
                                                <w:top w:val="single" w:sz="6" w:space="0" w:color="F5F5F5"/>
                                                <w:left w:val="single" w:sz="6" w:space="0" w:color="F5F5F5"/>
                                                <w:bottom w:val="single" w:sz="6" w:space="0" w:color="F5F5F5"/>
                                                <w:right w:val="single" w:sz="6" w:space="0" w:color="F5F5F5"/>
                                              </w:divBdr>
                                              <w:divsChild>
                                                <w:div w:id="780691105">
                                                  <w:marLeft w:val="0"/>
                                                  <w:marRight w:val="0"/>
                                                  <w:marTop w:val="0"/>
                                                  <w:marBottom w:val="0"/>
                                                  <w:divBdr>
                                                    <w:top w:val="none" w:sz="0" w:space="0" w:color="auto"/>
                                                    <w:left w:val="none" w:sz="0" w:space="0" w:color="auto"/>
                                                    <w:bottom w:val="none" w:sz="0" w:space="0" w:color="auto"/>
                                                    <w:right w:val="none" w:sz="0" w:space="0" w:color="auto"/>
                                                  </w:divBdr>
                                                  <w:divsChild>
                                                    <w:div w:id="74954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5864492">
      <w:bodyDiv w:val="1"/>
      <w:marLeft w:val="0"/>
      <w:marRight w:val="0"/>
      <w:marTop w:val="0"/>
      <w:marBottom w:val="0"/>
      <w:divBdr>
        <w:top w:val="none" w:sz="0" w:space="0" w:color="auto"/>
        <w:left w:val="none" w:sz="0" w:space="0" w:color="auto"/>
        <w:bottom w:val="none" w:sz="0" w:space="0" w:color="auto"/>
        <w:right w:val="none" w:sz="0" w:space="0" w:color="auto"/>
      </w:divBdr>
      <w:divsChild>
        <w:div w:id="329060391">
          <w:marLeft w:val="0"/>
          <w:marRight w:val="0"/>
          <w:marTop w:val="0"/>
          <w:marBottom w:val="0"/>
          <w:divBdr>
            <w:top w:val="single" w:sz="18" w:space="0" w:color="FFFFFF"/>
            <w:left w:val="single" w:sz="18" w:space="0" w:color="FFFFFF"/>
            <w:bottom w:val="single" w:sz="18" w:space="0" w:color="FFFFFF"/>
            <w:right w:val="single" w:sz="18" w:space="0" w:color="FFFFFF"/>
          </w:divBdr>
          <w:divsChild>
            <w:div w:id="19615675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ho.org/data/index.php/es/analisis/perfiles-de-salud/perfiles-de-salud-nac/274-perfiles-nacional-indicadores.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pps.who.int/iris/bitstream/handle/10665/272712/9789243514161-spa.pdf?ua=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ho.int/nmh/countries/en/" TargetMode="External"/><Relationship Id="rId5" Type="http://schemas.openxmlformats.org/officeDocument/2006/relationships/webSettings" Target="webSettings.xml"/><Relationship Id="rId10" Type="http://schemas.openxmlformats.org/officeDocument/2006/relationships/hyperlink" Target="http://www.who.int/nmh/countries/en/"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paho.org/data/index.php/es/analisis/perfiles-de-salud/perfiles-de-salud-nac/274-perfiles-nacional-indicadores.htm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iris.paho.org/xmlui/handle/123456789/34343" TargetMode="External"/><Relationship Id="rId13" Type="http://schemas.openxmlformats.org/officeDocument/2006/relationships/hyperlink" Target="http://actionaid.org.br/wp-content/files_mf/1499785232Relatorio_sintese_v2_23jun.pdf" TargetMode="External"/><Relationship Id="rId3" Type="http://schemas.openxmlformats.org/officeDocument/2006/relationships/hyperlink" Target="http://www.who.int/es/news-room/fact-sheets/detail/tobacco" TargetMode="External"/><Relationship Id="rId7" Type="http://schemas.openxmlformats.org/officeDocument/2006/relationships/hyperlink" Target="http://apps.who.int/iris/bitstream/handle/10665/272712/9789243514161-spa.pdf?ua=1" TargetMode="External"/><Relationship Id="rId12" Type="http://schemas.openxmlformats.org/officeDocument/2006/relationships/hyperlink" Target="https://www.un.org/ecosoc/es/events/2016-1" TargetMode="External"/><Relationship Id="rId2" Type="http://schemas.openxmlformats.org/officeDocument/2006/relationships/hyperlink" Target="http://www.who.int/es/news-room/fact-sheets/detail/noncommunicable-diseases" TargetMode="External"/><Relationship Id="rId1" Type="http://schemas.openxmlformats.org/officeDocument/2006/relationships/hyperlink" Target="http://www.who.int/nmh/events/un_ncd_summit2011/political_declaration_en.pdf?ua=1" TargetMode="External"/><Relationship Id="rId6" Type="http://schemas.openxmlformats.org/officeDocument/2006/relationships/hyperlink" Target="http://www.un.org/es/ga/ncdmeeting2011/background.shtml" TargetMode="External"/><Relationship Id="rId11" Type="http://schemas.openxmlformats.org/officeDocument/2006/relationships/hyperlink" Target="http://www.isalud.edu.ar/institucional/publicaciones/revista-isalud" TargetMode="External"/><Relationship Id="rId5" Type="http://schemas.openxmlformats.org/officeDocument/2006/relationships/hyperlink" Target="http://www.un.org/es/comun/docs/?symbol=A/RES/65/238" TargetMode="External"/><Relationship Id="rId15" Type="http://schemas.openxmlformats.org/officeDocument/2006/relationships/hyperlink" Target="http://apps.who.int/iris/bitstream/handle/10665/272712/9789243514161-spa.pdf?ua=1" TargetMode="External"/><Relationship Id="rId10" Type="http://schemas.openxmlformats.org/officeDocument/2006/relationships/hyperlink" Target="http://publichealth.oxfordre.com/view/10.1093/acrefore/9780190632366.001.0001/acrefore-9780190632366-e-26?print=pdf" TargetMode="External"/><Relationship Id="rId4" Type="http://schemas.openxmlformats.org/officeDocument/2006/relationships/hyperlink" Target="https://www.paho.org/hq/dmdocuments/2015/informe-grupo-tag3-indicadores-desarrollo-2013.pdf" TargetMode="External"/><Relationship Id="rId9" Type="http://schemas.openxmlformats.org/officeDocument/2006/relationships/hyperlink" Target="http://apps.who.int/iris/bitstream/handle/10665/272712/9789243514161-spa.pdf?ua=1" TargetMode="External"/><Relationship Id="rId14" Type="http://schemas.openxmlformats.org/officeDocument/2006/relationships/hyperlink" Target="https://www.fundacioncolunga.org/wp-content/uploads/2017/09/Informe-Luz-Asocia2030-finallow.pd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876A5-39BB-4D72-A823-1747D3D86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6241</Words>
  <Characters>34326</Characters>
  <Application>Microsoft Office Word</Application>
  <DocSecurity>0</DocSecurity>
  <Lines>286</Lines>
  <Paragraphs>80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40487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Tobar</dc:creator>
  <cp:keywords/>
  <dc:description/>
  <cp:lastModifiedBy>Admin</cp:lastModifiedBy>
  <cp:revision>3</cp:revision>
  <dcterms:created xsi:type="dcterms:W3CDTF">2018-09-18T13:02:00Z</dcterms:created>
  <dcterms:modified xsi:type="dcterms:W3CDTF">2018-09-18T13:02:00Z</dcterms:modified>
</cp:coreProperties>
</file>