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2BE7F" w14:textId="1BC485A6" w:rsidR="005416CB" w:rsidRPr="00CC010C" w:rsidRDefault="005416CB" w:rsidP="00682488">
      <w:pPr>
        <w:jc w:val="center"/>
        <w:outlineLvl w:val="0"/>
        <w:rPr>
          <w:rFonts w:ascii="Arial" w:eastAsia="Times New Roman" w:hAnsi="Arial" w:cs="Arial"/>
          <w:b/>
          <w:lang w:val="es-MX"/>
        </w:rPr>
      </w:pPr>
      <w:r w:rsidRPr="00AD204C">
        <w:rPr>
          <w:rFonts w:ascii="Arial" w:eastAsia="Times New Roman" w:hAnsi="Arial" w:cs="Arial"/>
          <w:b/>
          <w:lang w:val="es-MX"/>
        </w:rPr>
        <w:t xml:space="preserve">El </w:t>
      </w:r>
      <w:r w:rsidR="001526EB">
        <w:rPr>
          <w:rFonts w:ascii="Arial" w:eastAsia="Times New Roman" w:hAnsi="Arial" w:cs="Arial"/>
          <w:b/>
          <w:lang w:val="es-MX"/>
        </w:rPr>
        <w:t>MERCOSUR</w:t>
      </w:r>
      <w:r w:rsidRPr="00AD204C">
        <w:rPr>
          <w:rFonts w:ascii="Arial" w:eastAsia="Times New Roman" w:hAnsi="Arial" w:cs="Arial"/>
          <w:b/>
          <w:lang w:val="es-MX"/>
        </w:rPr>
        <w:t xml:space="preserve"> </w:t>
      </w:r>
      <w:r w:rsidR="00837391">
        <w:rPr>
          <w:rFonts w:ascii="Arial" w:eastAsia="Times New Roman" w:hAnsi="Arial" w:cs="Arial"/>
          <w:b/>
          <w:lang w:val="es-MX"/>
        </w:rPr>
        <w:t>en</w:t>
      </w:r>
      <w:r w:rsidR="00837391" w:rsidRPr="00AD204C">
        <w:rPr>
          <w:rFonts w:ascii="Arial" w:eastAsia="Times New Roman" w:hAnsi="Arial" w:cs="Arial"/>
          <w:b/>
          <w:lang w:val="es-MX"/>
        </w:rPr>
        <w:t xml:space="preserve"> </w:t>
      </w:r>
      <w:r w:rsidRPr="00AD204C">
        <w:rPr>
          <w:rFonts w:ascii="Arial" w:eastAsia="Times New Roman" w:hAnsi="Arial" w:cs="Arial"/>
          <w:b/>
          <w:lang w:val="es-MX"/>
        </w:rPr>
        <w:t xml:space="preserve">la </w:t>
      </w:r>
      <w:r w:rsidR="00F67216">
        <w:rPr>
          <w:rFonts w:ascii="Arial" w:eastAsia="Times New Roman" w:hAnsi="Arial" w:cs="Arial"/>
          <w:b/>
          <w:lang w:val="es-MX"/>
        </w:rPr>
        <w:t>A</w:t>
      </w:r>
      <w:r w:rsidRPr="00AD204C">
        <w:rPr>
          <w:rFonts w:ascii="Arial" w:eastAsia="Times New Roman" w:hAnsi="Arial" w:cs="Arial"/>
          <w:b/>
          <w:lang w:val="es-MX"/>
        </w:rPr>
        <w:t xml:space="preserve">genda </w:t>
      </w:r>
      <w:r w:rsidR="00F67216">
        <w:rPr>
          <w:rFonts w:ascii="Arial" w:eastAsia="Times New Roman" w:hAnsi="Arial" w:cs="Arial"/>
          <w:b/>
          <w:lang w:val="es-MX"/>
        </w:rPr>
        <w:t>G</w:t>
      </w:r>
      <w:r w:rsidRPr="00AD204C">
        <w:rPr>
          <w:rFonts w:ascii="Arial" w:eastAsia="Times New Roman" w:hAnsi="Arial" w:cs="Arial"/>
          <w:b/>
          <w:lang w:val="es-MX"/>
        </w:rPr>
        <w:t xml:space="preserve">lobal del </w:t>
      </w:r>
      <w:r w:rsidR="00F67216">
        <w:rPr>
          <w:rFonts w:ascii="Arial" w:eastAsia="Times New Roman" w:hAnsi="Arial" w:cs="Arial"/>
          <w:b/>
          <w:lang w:val="es-MX"/>
        </w:rPr>
        <w:t>D</w:t>
      </w:r>
      <w:r w:rsidRPr="00AD204C">
        <w:rPr>
          <w:rFonts w:ascii="Arial" w:eastAsia="Times New Roman" w:hAnsi="Arial" w:cs="Arial"/>
          <w:b/>
          <w:lang w:val="es-MX"/>
        </w:rPr>
        <w:t>esarrollo</w:t>
      </w:r>
      <w:r w:rsidR="000A4FC5">
        <w:rPr>
          <w:rFonts w:ascii="Arial" w:eastAsia="Times New Roman" w:hAnsi="Arial" w:cs="Arial"/>
          <w:b/>
          <w:lang w:val="es-MX"/>
        </w:rPr>
        <w:t>:</w:t>
      </w:r>
      <w:r w:rsidR="00682488">
        <w:rPr>
          <w:rFonts w:ascii="Arial" w:eastAsia="Times New Roman" w:hAnsi="Arial" w:cs="Arial"/>
          <w:b/>
          <w:lang w:val="es-MX"/>
        </w:rPr>
        <w:t xml:space="preserve"> </w:t>
      </w:r>
      <w:r w:rsidR="000A4FC5">
        <w:rPr>
          <w:rFonts w:ascii="Arial" w:eastAsia="Times New Roman" w:hAnsi="Arial" w:cs="Arial"/>
          <w:b/>
          <w:lang w:val="es-MX"/>
        </w:rPr>
        <w:t xml:space="preserve">El </w:t>
      </w:r>
      <w:r w:rsidR="002D67B5">
        <w:rPr>
          <w:rFonts w:ascii="Arial" w:eastAsia="Times New Roman" w:hAnsi="Arial" w:cs="Arial"/>
          <w:b/>
          <w:lang w:val="es-MX"/>
        </w:rPr>
        <w:t>PEAS</w:t>
      </w:r>
      <w:r w:rsidR="000A4FC5">
        <w:rPr>
          <w:rFonts w:ascii="Arial" w:eastAsia="Times New Roman" w:hAnsi="Arial" w:cs="Arial"/>
          <w:b/>
          <w:lang w:val="es-MX"/>
        </w:rPr>
        <w:t xml:space="preserve"> </w:t>
      </w:r>
      <w:r w:rsidRPr="00AD204C">
        <w:rPr>
          <w:rFonts w:ascii="Arial" w:eastAsia="Times New Roman" w:hAnsi="Arial" w:cs="Arial"/>
          <w:b/>
          <w:lang w:val="es-MX"/>
        </w:rPr>
        <w:t xml:space="preserve">y su vigencia en el marco </w:t>
      </w:r>
      <w:r w:rsidR="004371ED">
        <w:rPr>
          <w:rFonts w:ascii="Arial" w:eastAsia="Times New Roman" w:hAnsi="Arial" w:cs="Arial"/>
          <w:b/>
          <w:lang w:val="es-MX"/>
        </w:rPr>
        <w:t xml:space="preserve">de </w:t>
      </w:r>
      <w:r w:rsidR="00F67216">
        <w:rPr>
          <w:rFonts w:ascii="Arial" w:eastAsia="Times New Roman" w:hAnsi="Arial" w:cs="Arial"/>
          <w:b/>
          <w:lang w:val="es-MX"/>
        </w:rPr>
        <w:t>los O</w:t>
      </w:r>
      <w:r w:rsidR="002D67B5">
        <w:rPr>
          <w:rFonts w:ascii="Arial" w:eastAsia="Times New Roman" w:hAnsi="Arial" w:cs="Arial"/>
          <w:b/>
          <w:lang w:val="es-MX"/>
        </w:rPr>
        <w:t>DS 2030</w:t>
      </w:r>
    </w:p>
    <w:p w14:paraId="0BECCBDF" w14:textId="77777777" w:rsidR="00305268" w:rsidRPr="00BC1EF8" w:rsidRDefault="00305268" w:rsidP="00CC010C">
      <w:pPr>
        <w:jc w:val="both"/>
        <w:rPr>
          <w:rFonts w:ascii="Arial" w:eastAsia="Times New Roman" w:hAnsi="Arial" w:cs="Arial"/>
          <w:b/>
          <w:lang w:val="es-MX"/>
        </w:rPr>
      </w:pPr>
    </w:p>
    <w:p w14:paraId="7681E526" w14:textId="46A0133D" w:rsidR="0089249A" w:rsidRPr="005207EE" w:rsidRDefault="007368D0" w:rsidP="00AF7DA3">
      <w:pPr>
        <w:jc w:val="both"/>
        <w:outlineLvl w:val="0"/>
        <w:rPr>
          <w:rFonts w:ascii="Arial" w:eastAsia="Times New Roman" w:hAnsi="Arial" w:cs="Arial"/>
          <w:b/>
          <w:lang w:val="es-MX"/>
        </w:rPr>
      </w:pPr>
      <w:r w:rsidRPr="005207EE">
        <w:rPr>
          <w:rFonts w:ascii="Arial" w:eastAsia="Times New Roman" w:hAnsi="Arial" w:cs="Arial"/>
          <w:b/>
          <w:lang w:val="es-MX"/>
        </w:rPr>
        <w:t>Introducción</w:t>
      </w:r>
    </w:p>
    <w:p w14:paraId="7040D298" w14:textId="31D8EDF9" w:rsidR="00412C9D" w:rsidRPr="00201D7E" w:rsidRDefault="00B50C34" w:rsidP="00BC1EF8">
      <w:pPr>
        <w:jc w:val="both"/>
        <w:rPr>
          <w:rFonts w:ascii="Arial" w:eastAsia="Times New Roman" w:hAnsi="Arial" w:cs="Arial"/>
          <w:lang w:val="es-MX"/>
        </w:rPr>
      </w:pPr>
      <w:r>
        <w:rPr>
          <w:rFonts w:ascii="Arial" w:eastAsia="Times New Roman" w:hAnsi="Arial" w:cs="Arial"/>
          <w:lang w:val="es-MX"/>
        </w:rPr>
        <w:t xml:space="preserve">Este ensayo </w:t>
      </w:r>
      <w:r w:rsidR="002D67B5">
        <w:rPr>
          <w:rFonts w:ascii="Arial" w:eastAsia="Times New Roman" w:hAnsi="Arial" w:cs="Arial"/>
          <w:lang w:val="es-MX"/>
        </w:rPr>
        <w:t xml:space="preserve">busca reposicionar </w:t>
      </w:r>
      <w:r>
        <w:rPr>
          <w:rFonts w:ascii="Arial" w:eastAsia="Times New Roman" w:hAnsi="Arial" w:cs="Arial"/>
          <w:lang w:val="es-MX"/>
        </w:rPr>
        <w:t>el papel de</w:t>
      </w:r>
      <w:r w:rsidR="002D67B5">
        <w:rPr>
          <w:rFonts w:ascii="Arial" w:eastAsia="Times New Roman" w:hAnsi="Arial" w:cs="Arial"/>
          <w:lang w:val="es-MX"/>
        </w:rPr>
        <w:t xml:space="preserve"> las instituciones del</w:t>
      </w:r>
      <w:r w:rsidR="00412C9D" w:rsidRPr="00F0232B">
        <w:rPr>
          <w:rFonts w:ascii="Arial" w:eastAsia="Times New Roman" w:hAnsi="Arial" w:cs="Arial"/>
          <w:lang w:val="es-MX"/>
        </w:rPr>
        <w:t xml:space="preserve"> </w:t>
      </w:r>
      <w:r w:rsidR="001526EB">
        <w:rPr>
          <w:rFonts w:ascii="Arial" w:eastAsia="Times New Roman" w:hAnsi="Arial" w:cs="Arial"/>
          <w:lang w:val="es-MX"/>
        </w:rPr>
        <w:t>MERCOSUR</w:t>
      </w:r>
      <w:r>
        <w:rPr>
          <w:rFonts w:ascii="Arial" w:eastAsia="Times New Roman" w:hAnsi="Arial" w:cs="Arial"/>
          <w:lang w:val="es-MX"/>
        </w:rPr>
        <w:t xml:space="preserve"> </w:t>
      </w:r>
      <w:r w:rsidR="002D67B5">
        <w:rPr>
          <w:rFonts w:ascii="Arial" w:eastAsia="Times New Roman" w:hAnsi="Arial" w:cs="Arial"/>
          <w:lang w:val="es-MX"/>
        </w:rPr>
        <w:t xml:space="preserve">dentro de </w:t>
      </w:r>
      <w:r>
        <w:rPr>
          <w:rFonts w:ascii="Arial" w:eastAsia="Times New Roman" w:hAnsi="Arial" w:cs="Arial"/>
          <w:lang w:val="es-MX"/>
        </w:rPr>
        <w:t xml:space="preserve">la Agenda Global del Desarrollo. En los últimos años, el bloque regional ha avanzado en su proceso de democratización </w:t>
      </w:r>
      <w:r w:rsidR="002E5E87">
        <w:rPr>
          <w:rFonts w:ascii="Arial" w:eastAsia="Times New Roman" w:hAnsi="Arial" w:cs="Arial"/>
          <w:lang w:val="es-MX"/>
        </w:rPr>
        <w:t>interno,</w:t>
      </w:r>
      <w:r>
        <w:rPr>
          <w:rFonts w:ascii="Arial" w:eastAsia="Times New Roman" w:hAnsi="Arial" w:cs="Arial"/>
          <w:lang w:val="es-MX"/>
        </w:rPr>
        <w:t xml:space="preserve"> así como en la construcción de una agenda multidimensional, multinivel y multiac</w:t>
      </w:r>
      <w:bookmarkStart w:id="0" w:name="_GoBack"/>
      <w:bookmarkEnd w:id="0"/>
      <w:r>
        <w:rPr>
          <w:rFonts w:ascii="Arial" w:eastAsia="Times New Roman" w:hAnsi="Arial" w:cs="Arial"/>
          <w:lang w:val="es-MX"/>
        </w:rPr>
        <w:t xml:space="preserve">tor del desarrollo. </w:t>
      </w:r>
      <w:r w:rsidR="001526EB">
        <w:rPr>
          <w:rFonts w:ascii="Arial" w:eastAsia="Times New Roman" w:hAnsi="Arial" w:cs="Arial"/>
          <w:lang w:val="es-MX"/>
        </w:rPr>
        <w:t>MERCOSUR</w:t>
      </w:r>
      <w:r w:rsidR="00412C9D" w:rsidRPr="00201D7E">
        <w:rPr>
          <w:rFonts w:ascii="Arial" w:eastAsia="Times New Roman" w:hAnsi="Arial" w:cs="Arial"/>
          <w:lang w:val="es-MX"/>
        </w:rPr>
        <w:t xml:space="preserve"> cuenta con instituciones e instrumentos operativos para promover acciones coordinadas </w:t>
      </w:r>
      <w:r w:rsidR="0042743A" w:rsidRPr="00201D7E">
        <w:rPr>
          <w:rFonts w:ascii="Arial" w:eastAsia="Times New Roman" w:hAnsi="Arial" w:cs="Arial"/>
          <w:lang w:val="es-MX"/>
        </w:rPr>
        <w:t xml:space="preserve">que permitan la consecución de los Objetivos de Desarrollo Sostenible </w:t>
      </w:r>
      <w:r w:rsidR="002D67B5">
        <w:rPr>
          <w:rFonts w:ascii="Arial" w:eastAsia="Times New Roman" w:hAnsi="Arial" w:cs="Arial"/>
          <w:lang w:val="es-MX"/>
        </w:rPr>
        <w:t xml:space="preserve">2030 </w:t>
      </w:r>
      <w:r w:rsidR="0042743A" w:rsidRPr="00201D7E">
        <w:rPr>
          <w:rFonts w:ascii="Arial" w:eastAsia="Times New Roman" w:hAnsi="Arial" w:cs="Arial"/>
          <w:lang w:val="es-MX"/>
        </w:rPr>
        <w:t>(ODS) y así mejorar la vida de su ciudadanía</w:t>
      </w:r>
      <w:r w:rsidR="00412C9D" w:rsidRPr="00201D7E">
        <w:rPr>
          <w:rFonts w:ascii="Arial" w:eastAsia="Times New Roman" w:hAnsi="Arial" w:cs="Arial"/>
          <w:lang w:val="es-MX"/>
        </w:rPr>
        <w:t>.</w:t>
      </w:r>
    </w:p>
    <w:p w14:paraId="192B7E1C" w14:textId="6A2E4099" w:rsidR="00412C9D" w:rsidRPr="00764242" w:rsidRDefault="008E6703" w:rsidP="005207EE">
      <w:pPr>
        <w:jc w:val="both"/>
        <w:rPr>
          <w:rFonts w:ascii="Arial" w:eastAsia="Times New Roman" w:hAnsi="Arial" w:cs="Arial"/>
          <w:lang w:val="es-MX"/>
        </w:rPr>
      </w:pPr>
      <w:r w:rsidRPr="00201D7E">
        <w:rPr>
          <w:rFonts w:ascii="Arial" w:eastAsia="Times New Roman" w:hAnsi="Arial" w:cs="Arial"/>
          <w:lang w:val="es-MX"/>
        </w:rPr>
        <w:t>La sección siguiente repasa algunos de los conceptos fundamentales dentro de la agenda global del desarrollo. Las diversas iniciativas para promover el desarrollo a través de la cooperación entre los países, y algunos problemas que se plantean para los países de ingresos medios y medio altos.</w:t>
      </w:r>
      <w:r w:rsidR="00B50C34">
        <w:rPr>
          <w:rFonts w:ascii="Arial" w:eastAsia="Times New Roman" w:hAnsi="Arial" w:cs="Arial"/>
          <w:lang w:val="es-MX"/>
        </w:rPr>
        <w:t xml:space="preserve"> </w:t>
      </w:r>
      <w:r w:rsidRPr="00201D7E">
        <w:rPr>
          <w:rFonts w:ascii="Arial" w:eastAsia="Times New Roman" w:hAnsi="Arial" w:cs="Arial"/>
          <w:lang w:val="es-MX"/>
        </w:rPr>
        <w:t>L</w:t>
      </w:r>
      <w:r w:rsidR="00412C9D" w:rsidRPr="00201D7E">
        <w:rPr>
          <w:rFonts w:ascii="Arial" w:eastAsia="Times New Roman" w:hAnsi="Arial" w:cs="Arial"/>
          <w:lang w:val="es-MX"/>
        </w:rPr>
        <w:t xml:space="preserve">a </w:t>
      </w:r>
      <w:r w:rsidR="0042743A" w:rsidRPr="00201D7E">
        <w:rPr>
          <w:rFonts w:ascii="Arial" w:eastAsia="Times New Roman" w:hAnsi="Arial" w:cs="Arial"/>
          <w:lang w:val="es-MX"/>
        </w:rPr>
        <w:t xml:space="preserve">segunda </w:t>
      </w:r>
      <w:r w:rsidR="00412C9D" w:rsidRPr="00201D7E">
        <w:rPr>
          <w:rFonts w:ascii="Arial" w:eastAsia="Times New Roman" w:hAnsi="Arial" w:cs="Arial"/>
          <w:lang w:val="es-MX"/>
        </w:rPr>
        <w:t xml:space="preserve">sección </w:t>
      </w:r>
      <w:r w:rsidRPr="00201D7E">
        <w:rPr>
          <w:rFonts w:ascii="Arial" w:eastAsia="Times New Roman" w:hAnsi="Arial" w:cs="Arial"/>
          <w:lang w:val="es-MX"/>
        </w:rPr>
        <w:t xml:space="preserve">presenta la </w:t>
      </w:r>
      <w:r w:rsidR="00412C9D" w:rsidRPr="00201D7E">
        <w:rPr>
          <w:rFonts w:ascii="Arial" w:eastAsia="Times New Roman" w:hAnsi="Arial" w:cs="Arial"/>
          <w:lang w:val="es-MX"/>
        </w:rPr>
        <w:t xml:space="preserve">estructura </w:t>
      </w:r>
      <w:r w:rsidRPr="00201D7E">
        <w:rPr>
          <w:rFonts w:ascii="Arial" w:eastAsia="Times New Roman" w:hAnsi="Arial" w:cs="Arial"/>
          <w:lang w:val="es-MX"/>
        </w:rPr>
        <w:t xml:space="preserve">institucional </w:t>
      </w:r>
      <w:r w:rsidR="00412C9D" w:rsidRPr="00201D7E">
        <w:rPr>
          <w:rFonts w:ascii="Arial" w:eastAsia="Times New Roman" w:hAnsi="Arial" w:cs="Arial"/>
          <w:lang w:val="es-MX"/>
        </w:rPr>
        <w:t>de</w:t>
      </w:r>
      <w:r w:rsidRPr="00201D7E">
        <w:rPr>
          <w:rFonts w:ascii="Arial" w:eastAsia="Times New Roman" w:hAnsi="Arial" w:cs="Arial"/>
          <w:lang w:val="es-MX"/>
        </w:rPr>
        <w:t xml:space="preserve">l </w:t>
      </w:r>
      <w:r w:rsidR="001526EB">
        <w:rPr>
          <w:rFonts w:ascii="Arial" w:eastAsia="Times New Roman" w:hAnsi="Arial" w:cs="Arial"/>
          <w:lang w:val="es-MX"/>
        </w:rPr>
        <w:t>MERCOSUR</w:t>
      </w:r>
      <w:r w:rsidRPr="00201D7E">
        <w:rPr>
          <w:rFonts w:ascii="Arial" w:eastAsia="Times New Roman" w:hAnsi="Arial" w:cs="Arial"/>
          <w:lang w:val="es-MX"/>
        </w:rPr>
        <w:t xml:space="preserve"> y los instrumentos que éste ofrece para promover regionalmente la agenda global del desarrollo. </w:t>
      </w:r>
      <w:r w:rsidR="0042743A" w:rsidRPr="00201D7E">
        <w:rPr>
          <w:rFonts w:ascii="Arial" w:eastAsia="Times New Roman" w:hAnsi="Arial" w:cs="Arial"/>
          <w:lang w:val="es-MX"/>
        </w:rPr>
        <w:t xml:space="preserve">Se hace especial atención en el Plan Estratégico de Acción Social </w:t>
      </w:r>
      <w:r w:rsidR="00546758">
        <w:rPr>
          <w:rFonts w:ascii="Arial" w:eastAsia="Times New Roman" w:hAnsi="Arial" w:cs="Arial"/>
          <w:lang w:val="es-MX"/>
        </w:rPr>
        <w:t xml:space="preserve">(PEAS) </w:t>
      </w:r>
      <w:r w:rsidR="0042743A" w:rsidRPr="00546758">
        <w:rPr>
          <w:rFonts w:ascii="Arial" w:eastAsia="Times New Roman" w:hAnsi="Arial" w:cs="Arial"/>
          <w:lang w:val="es-MX"/>
        </w:rPr>
        <w:t xml:space="preserve">del </w:t>
      </w:r>
      <w:r w:rsidR="001526EB">
        <w:rPr>
          <w:rFonts w:ascii="Arial" w:eastAsia="Times New Roman" w:hAnsi="Arial" w:cs="Arial"/>
          <w:lang w:val="es-MX"/>
        </w:rPr>
        <w:t>MERCOSUR</w:t>
      </w:r>
      <w:r w:rsidR="0042743A" w:rsidRPr="00546758">
        <w:rPr>
          <w:rFonts w:ascii="Arial" w:eastAsia="Times New Roman" w:hAnsi="Arial" w:cs="Arial"/>
          <w:lang w:val="es-MX"/>
        </w:rPr>
        <w:t xml:space="preserve"> como instrumento</w:t>
      </w:r>
      <w:r w:rsidR="002D67B5">
        <w:rPr>
          <w:rFonts w:ascii="Arial" w:eastAsia="Times New Roman" w:hAnsi="Arial" w:cs="Arial"/>
          <w:lang w:val="es-MX"/>
        </w:rPr>
        <w:t xml:space="preserve"> de coordinación de los diversos ámbitos que conforman la Dimensión Social del bloque.</w:t>
      </w:r>
    </w:p>
    <w:p w14:paraId="3491B47D" w14:textId="63521AFB" w:rsidR="00412C9D" w:rsidRPr="00201D7E" w:rsidRDefault="008E6703" w:rsidP="005207EE">
      <w:pPr>
        <w:jc w:val="both"/>
        <w:rPr>
          <w:rFonts w:ascii="Arial" w:eastAsia="Times New Roman" w:hAnsi="Arial" w:cs="Arial"/>
          <w:lang w:val="es-MX"/>
        </w:rPr>
      </w:pPr>
      <w:r w:rsidRPr="00E6008D">
        <w:rPr>
          <w:rFonts w:ascii="Arial" w:eastAsia="Times New Roman" w:hAnsi="Arial" w:cs="Arial"/>
          <w:lang w:val="es-MX"/>
        </w:rPr>
        <w:t xml:space="preserve">Las secciones </w:t>
      </w:r>
      <w:r w:rsidR="0042743A" w:rsidRPr="00577500">
        <w:rPr>
          <w:rFonts w:ascii="Arial" w:eastAsia="Times New Roman" w:hAnsi="Arial" w:cs="Arial"/>
          <w:lang w:val="es-MX"/>
        </w:rPr>
        <w:t xml:space="preserve">tercera y cuarta </w:t>
      </w:r>
      <w:r w:rsidRPr="00F0232B">
        <w:rPr>
          <w:rFonts w:ascii="Arial" w:eastAsia="Times New Roman" w:hAnsi="Arial" w:cs="Arial"/>
          <w:lang w:val="es-MX"/>
        </w:rPr>
        <w:t>repasa</w:t>
      </w:r>
      <w:r w:rsidR="0042743A" w:rsidRPr="00201D7E">
        <w:rPr>
          <w:rFonts w:ascii="Arial" w:eastAsia="Times New Roman" w:hAnsi="Arial" w:cs="Arial"/>
          <w:lang w:val="es-MX"/>
        </w:rPr>
        <w:t>n</w:t>
      </w:r>
      <w:r w:rsidRPr="00201D7E">
        <w:rPr>
          <w:rFonts w:ascii="Arial" w:eastAsia="Times New Roman" w:hAnsi="Arial" w:cs="Arial"/>
          <w:lang w:val="es-MX"/>
        </w:rPr>
        <w:t xml:space="preserve"> las principales agendas de promoción del desarrollo global y regional, identificando las principales coincidencias de éstas con el Plan Estratégico de Acción Social del </w:t>
      </w:r>
      <w:r w:rsidR="001526EB">
        <w:rPr>
          <w:rFonts w:ascii="Arial" w:eastAsia="Times New Roman" w:hAnsi="Arial" w:cs="Arial"/>
          <w:lang w:val="es-MX"/>
        </w:rPr>
        <w:t>MERCOSUR</w:t>
      </w:r>
      <w:r w:rsidRPr="00201D7E">
        <w:rPr>
          <w:rFonts w:ascii="Arial" w:eastAsia="Times New Roman" w:hAnsi="Arial" w:cs="Arial"/>
          <w:lang w:val="es-MX"/>
        </w:rPr>
        <w:t xml:space="preserve">. </w:t>
      </w:r>
      <w:r w:rsidR="00F3217E" w:rsidRPr="00201D7E">
        <w:rPr>
          <w:rFonts w:ascii="Arial" w:eastAsia="Times New Roman" w:hAnsi="Arial" w:cs="Arial"/>
          <w:lang w:val="es-MX"/>
        </w:rPr>
        <w:t>En la quinta se reflexiona sobre la importancia de la colaboración inter</w:t>
      </w:r>
      <w:r w:rsidR="00201D7E" w:rsidRPr="00201D7E">
        <w:rPr>
          <w:rFonts w:ascii="Arial" w:eastAsia="Times New Roman" w:hAnsi="Arial" w:cs="Arial"/>
          <w:lang w:val="es-MX"/>
        </w:rPr>
        <w:t>sectorial en el marco de los procesos de integración regional y al abordar la agenda del desarrollo.</w:t>
      </w:r>
    </w:p>
    <w:p w14:paraId="4B3CAF4F" w14:textId="1E90A4CA" w:rsidR="008E6703" w:rsidRPr="00E064B5" w:rsidRDefault="008E6703" w:rsidP="00546758">
      <w:pPr>
        <w:jc w:val="both"/>
        <w:rPr>
          <w:rFonts w:ascii="Arial" w:hAnsi="Arial" w:cs="Arial"/>
          <w:b/>
          <w:lang w:val="es-MX"/>
        </w:rPr>
      </w:pPr>
      <w:r w:rsidRPr="00201D7E">
        <w:rPr>
          <w:rFonts w:ascii="Arial" w:eastAsia="Times New Roman" w:hAnsi="Arial" w:cs="Arial"/>
          <w:lang w:val="es-MX"/>
        </w:rPr>
        <w:t xml:space="preserve">Finalmente, </w:t>
      </w:r>
      <w:r w:rsidR="00B50C34">
        <w:rPr>
          <w:rFonts w:ascii="Arial" w:eastAsia="Times New Roman" w:hAnsi="Arial" w:cs="Arial"/>
          <w:lang w:val="es-MX"/>
        </w:rPr>
        <w:t xml:space="preserve">se extraen algunas conclusiones poniendo en relevancia el papel </w:t>
      </w:r>
      <w:r w:rsidR="002D67B5">
        <w:rPr>
          <w:rFonts w:ascii="Arial" w:eastAsia="Times New Roman" w:hAnsi="Arial" w:cs="Arial"/>
          <w:lang w:val="es-MX"/>
        </w:rPr>
        <w:t xml:space="preserve">que tiene </w:t>
      </w:r>
      <w:r w:rsidR="002D67B5" w:rsidRPr="00E064B5">
        <w:rPr>
          <w:rFonts w:ascii="Arial" w:hAnsi="Arial" w:cs="Arial"/>
          <w:lang w:val="es-MX"/>
        </w:rPr>
        <w:t xml:space="preserve">el </w:t>
      </w:r>
      <w:r w:rsidR="00B50C34" w:rsidRPr="00E064B5">
        <w:rPr>
          <w:rFonts w:ascii="Arial" w:hAnsi="Arial" w:cs="Arial"/>
          <w:lang w:val="es-MX"/>
        </w:rPr>
        <w:t xml:space="preserve">PEAS como </w:t>
      </w:r>
      <w:r w:rsidR="002D67B5">
        <w:rPr>
          <w:rFonts w:ascii="Arial" w:hAnsi="Arial" w:cs="Arial"/>
          <w:lang w:val="es-MX"/>
        </w:rPr>
        <w:t xml:space="preserve">un </w:t>
      </w:r>
      <w:r w:rsidR="00B50C34" w:rsidRPr="00E064B5">
        <w:rPr>
          <w:rFonts w:ascii="Arial" w:hAnsi="Arial" w:cs="Arial"/>
          <w:lang w:val="es-MX"/>
        </w:rPr>
        <w:t xml:space="preserve">instrumento coordinador de la Dimensión Social en el </w:t>
      </w:r>
      <w:r w:rsidR="002D67B5">
        <w:rPr>
          <w:rFonts w:ascii="Arial" w:hAnsi="Arial" w:cs="Arial"/>
          <w:lang w:val="es-MX"/>
        </w:rPr>
        <w:t>MERCOSUR y su potencialidad en cuanto mecanismo para la convergencia de la agenda social regional con los ODS 2030</w:t>
      </w:r>
      <w:r w:rsidR="00B50C34" w:rsidRPr="00E064B5">
        <w:rPr>
          <w:rFonts w:ascii="Arial" w:hAnsi="Arial" w:cs="Arial"/>
          <w:lang w:val="es-MX"/>
        </w:rPr>
        <w:t>.</w:t>
      </w:r>
      <w:r w:rsidR="00B50C34">
        <w:rPr>
          <w:rFonts w:ascii="Arial" w:eastAsia="Times New Roman" w:hAnsi="Arial" w:cs="Arial"/>
          <w:lang w:val="es-MX"/>
        </w:rPr>
        <w:t xml:space="preserve"> </w:t>
      </w:r>
      <w:r w:rsidRPr="00201D7E">
        <w:rPr>
          <w:rFonts w:ascii="Arial" w:eastAsia="Times New Roman" w:hAnsi="Arial" w:cs="Arial"/>
          <w:lang w:val="es-MX"/>
        </w:rPr>
        <w:t xml:space="preserve"> </w:t>
      </w:r>
    </w:p>
    <w:p w14:paraId="0D3480C4" w14:textId="77777777" w:rsidR="00412C9D" w:rsidRPr="00201D7E" w:rsidRDefault="00412C9D" w:rsidP="00546758">
      <w:pPr>
        <w:jc w:val="both"/>
        <w:rPr>
          <w:rFonts w:ascii="Arial" w:eastAsia="Times New Roman" w:hAnsi="Arial" w:cs="Arial"/>
          <w:lang w:val="es-MX"/>
        </w:rPr>
      </w:pPr>
    </w:p>
    <w:p w14:paraId="323C9CB8" w14:textId="7C5E72B0" w:rsidR="00412C9D" w:rsidRPr="00201D7E" w:rsidRDefault="0042743A" w:rsidP="00546758">
      <w:pPr>
        <w:jc w:val="both"/>
        <w:rPr>
          <w:rFonts w:ascii="Arial" w:eastAsia="Times New Roman" w:hAnsi="Arial" w:cs="Arial"/>
          <w:b/>
          <w:lang w:val="es-MX"/>
        </w:rPr>
      </w:pPr>
      <w:r w:rsidRPr="00201D7E">
        <w:rPr>
          <w:rFonts w:ascii="Arial" w:eastAsia="Times New Roman" w:hAnsi="Arial" w:cs="Arial"/>
          <w:b/>
          <w:lang w:val="es-MX"/>
        </w:rPr>
        <w:t xml:space="preserve">1.- </w:t>
      </w:r>
      <w:r w:rsidR="000D3890" w:rsidRPr="00201D7E">
        <w:rPr>
          <w:rFonts w:ascii="Arial" w:eastAsia="Times New Roman" w:hAnsi="Arial" w:cs="Arial"/>
          <w:b/>
          <w:lang w:val="es-MX"/>
        </w:rPr>
        <w:t xml:space="preserve">Desafíos globales y respuestas regionales </w:t>
      </w:r>
    </w:p>
    <w:p w14:paraId="3B0C08A2" w14:textId="5896551B" w:rsidR="0078440D" w:rsidRDefault="00CC6AB4" w:rsidP="0078440D">
      <w:pPr>
        <w:jc w:val="both"/>
        <w:rPr>
          <w:rFonts w:ascii="Arial" w:eastAsia="Times New Roman" w:hAnsi="Arial" w:cs="Arial"/>
          <w:lang w:val="es-MX"/>
        </w:rPr>
      </w:pPr>
      <w:r w:rsidRPr="00201D7E">
        <w:rPr>
          <w:rFonts w:ascii="Arial" w:eastAsia="Times New Roman" w:hAnsi="Arial" w:cs="Arial"/>
          <w:lang w:val="es-MX"/>
        </w:rPr>
        <w:t xml:space="preserve">El fenómeno de la globalización </w:t>
      </w:r>
      <w:r w:rsidR="00763CBF" w:rsidRPr="00201D7E">
        <w:rPr>
          <w:rFonts w:ascii="Arial" w:eastAsia="Times New Roman" w:hAnsi="Arial" w:cs="Arial"/>
          <w:lang w:val="es-MX"/>
        </w:rPr>
        <w:t xml:space="preserve">exige de los países </w:t>
      </w:r>
      <w:r w:rsidR="00AB273A" w:rsidRPr="00201D7E">
        <w:rPr>
          <w:rFonts w:ascii="Arial" w:eastAsia="Times New Roman" w:hAnsi="Arial" w:cs="Arial"/>
          <w:lang w:val="es-MX"/>
        </w:rPr>
        <w:t xml:space="preserve">la construcción de </w:t>
      </w:r>
      <w:r w:rsidR="00763CBF" w:rsidRPr="00201D7E">
        <w:rPr>
          <w:rFonts w:ascii="Arial" w:eastAsia="Times New Roman" w:hAnsi="Arial" w:cs="Arial"/>
          <w:lang w:val="es-MX"/>
        </w:rPr>
        <w:t>respuestas consensuadas frente a problemas que</w:t>
      </w:r>
      <w:r w:rsidR="00064B7C" w:rsidRPr="00201D7E">
        <w:rPr>
          <w:rFonts w:ascii="Arial" w:eastAsia="Times New Roman" w:hAnsi="Arial" w:cs="Arial"/>
          <w:lang w:val="es-MX"/>
        </w:rPr>
        <w:t xml:space="preserve"> </w:t>
      </w:r>
      <w:r w:rsidR="002A180C" w:rsidRPr="00201D7E">
        <w:rPr>
          <w:rFonts w:ascii="Arial" w:eastAsia="Times New Roman" w:hAnsi="Arial" w:cs="Arial"/>
          <w:lang w:val="es-MX"/>
        </w:rPr>
        <w:t>trascienden</w:t>
      </w:r>
      <w:r w:rsidR="00763CBF" w:rsidRPr="00201D7E">
        <w:rPr>
          <w:rFonts w:ascii="Arial" w:eastAsia="Times New Roman" w:hAnsi="Arial" w:cs="Arial"/>
          <w:lang w:val="es-MX"/>
        </w:rPr>
        <w:t xml:space="preserve"> </w:t>
      </w:r>
      <w:r w:rsidR="008E6703" w:rsidRPr="00201D7E">
        <w:rPr>
          <w:rFonts w:ascii="Arial" w:eastAsia="Times New Roman" w:hAnsi="Arial" w:cs="Arial"/>
          <w:lang w:val="es-MX"/>
        </w:rPr>
        <w:t xml:space="preserve">sus </w:t>
      </w:r>
      <w:r w:rsidR="00763CBF" w:rsidRPr="00201D7E">
        <w:rPr>
          <w:rFonts w:ascii="Arial" w:eastAsia="Times New Roman" w:hAnsi="Arial" w:cs="Arial"/>
          <w:lang w:val="es-MX"/>
        </w:rPr>
        <w:t>fronteras</w:t>
      </w:r>
      <w:r w:rsidR="00064B7C" w:rsidRPr="00201D7E">
        <w:rPr>
          <w:rFonts w:ascii="Arial" w:eastAsia="Times New Roman" w:hAnsi="Arial" w:cs="Arial"/>
          <w:lang w:val="es-MX"/>
        </w:rPr>
        <w:t xml:space="preserve"> nacionales</w:t>
      </w:r>
      <w:r w:rsidR="00763CBF" w:rsidRPr="00201D7E">
        <w:rPr>
          <w:rFonts w:ascii="Arial" w:eastAsia="Times New Roman" w:hAnsi="Arial" w:cs="Arial"/>
          <w:lang w:val="es-MX"/>
        </w:rPr>
        <w:t>. El</w:t>
      </w:r>
      <w:r w:rsidR="008F5936">
        <w:rPr>
          <w:rFonts w:ascii="Arial" w:eastAsia="Times New Roman" w:hAnsi="Arial" w:cs="Arial"/>
          <w:lang w:val="es-MX"/>
        </w:rPr>
        <w:t xml:space="preserve"> </w:t>
      </w:r>
      <w:r w:rsidR="00763CBF" w:rsidRPr="00201D7E">
        <w:rPr>
          <w:rFonts w:ascii="Arial" w:eastAsia="Times New Roman" w:hAnsi="Arial" w:cs="Arial"/>
          <w:lang w:val="es-MX"/>
        </w:rPr>
        <w:t xml:space="preserve">cambio climático, la inestabilidad financiera y el insuficiente crecimiento económico, la desigualdad social que parece no dar tregua, </w:t>
      </w:r>
      <w:r w:rsidR="00064B7C" w:rsidRPr="00201D7E">
        <w:rPr>
          <w:rFonts w:ascii="Arial" w:eastAsia="Times New Roman" w:hAnsi="Arial" w:cs="Arial"/>
          <w:lang w:val="es-MX"/>
        </w:rPr>
        <w:t xml:space="preserve">la movilidad migratoria en busca de mejores oportunidades de vida, </w:t>
      </w:r>
      <w:r w:rsidR="00763CBF" w:rsidRPr="00201D7E">
        <w:rPr>
          <w:rFonts w:ascii="Arial" w:eastAsia="Times New Roman" w:hAnsi="Arial" w:cs="Arial"/>
          <w:lang w:val="es-MX"/>
        </w:rPr>
        <w:t xml:space="preserve">son </w:t>
      </w:r>
      <w:r w:rsidR="008E6703" w:rsidRPr="00201D7E">
        <w:rPr>
          <w:rFonts w:ascii="Arial" w:eastAsia="Times New Roman" w:hAnsi="Arial" w:cs="Arial"/>
          <w:lang w:val="es-MX"/>
        </w:rPr>
        <w:t xml:space="preserve">todos </w:t>
      </w:r>
      <w:r w:rsidR="00763CBF" w:rsidRPr="00201D7E">
        <w:rPr>
          <w:rFonts w:ascii="Arial" w:eastAsia="Times New Roman" w:hAnsi="Arial" w:cs="Arial"/>
          <w:lang w:val="es-MX"/>
        </w:rPr>
        <w:t>factores que impactan en la convivencia de personas y naciones</w:t>
      </w:r>
      <w:r w:rsidR="005416CB" w:rsidRPr="00201D7E">
        <w:rPr>
          <w:rStyle w:val="Refdenotaalpie"/>
          <w:rFonts w:ascii="Arial" w:eastAsia="Times New Roman" w:hAnsi="Arial" w:cs="Arial"/>
          <w:lang w:val="es-MX"/>
        </w:rPr>
        <w:footnoteReference w:id="1"/>
      </w:r>
      <w:r w:rsidR="00201D7E">
        <w:rPr>
          <w:rFonts w:ascii="Arial" w:eastAsia="Times New Roman" w:hAnsi="Arial" w:cs="Arial"/>
          <w:lang w:val="es-MX"/>
        </w:rPr>
        <w:t xml:space="preserve"> y </w:t>
      </w:r>
      <w:r w:rsidR="009155E3">
        <w:rPr>
          <w:rFonts w:ascii="Arial" w:eastAsia="Times New Roman" w:hAnsi="Arial" w:cs="Arial"/>
          <w:lang w:val="es-MX"/>
        </w:rPr>
        <w:t xml:space="preserve">obligan </w:t>
      </w:r>
      <w:r w:rsidR="00201D7E">
        <w:rPr>
          <w:rFonts w:ascii="Arial" w:eastAsia="Times New Roman" w:hAnsi="Arial" w:cs="Arial"/>
          <w:lang w:val="es-MX"/>
        </w:rPr>
        <w:t>a la generación de nuevos esquemas de gobernanza que puedan sintetizar estrategias cooperativas multinivel y multiactor</w:t>
      </w:r>
      <w:r w:rsidR="0078440D">
        <w:rPr>
          <w:rFonts w:ascii="Arial" w:eastAsia="Times New Roman" w:hAnsi="Arial" w:cs="Arial"/>
          <w:lang w:val="es-MX"/>
        </w:rPr>
        <w:t>.</w:t>
      </w:r>
      <w:r w:rsidR="0078440D" w:rsidRPr="0078440D">
        <w:rPr>
          <w:rFonts w:ascii="Arial" w:eastAsia="Times New Roman" w:hAnsi="Arial" w:cs="Arial"/>
          <w:lang w:val="es-MX"/>
        </w:rPr>
        <w:t xml:space="preserve"> Como nuevo modo de gobernar, “la gobernanza destaca la naturaleza de la colaboración de los actores de la sociedad para encaminar mejor la atención de los problemas públicos, así </w:t>
      </w:r>
      <w:r w:rsidR="0078440D" w:rsidRPr="0078440D">
        <w:rPr>
          <w:rFonts w:ascii="Arial" w:eastAsia="Times New Roman" w:hAnsi="Arial" w:cs="Arial"/>
          <w:lang w:val="es-MX"/>
        </w:rPr>
        <w:lastRenderedPageBreak/>
        <w:t>como el cumplimiento de los objetivos y metas del espacio de lo público” (Aguilar</w:t>
      </w:r>
      <w:r w:rsidR="00C53B58">
        <w:rPr>
          <w:rFonts w:ascii="Arial" w:eastAsia="Times New Roman" w:hAnsi="Arial" w:cs="Arial"/>
          <w:lang w:val="es-MX"/>
        </w:rPr>
        <w:t xml:space="preserve"> Villanueva</w:t>
      </w:r>
      <w:r w:rsidR="0078440D" w:rsidRPr="0078440D">
        <w:rPr>
          <w:rFonts w:ascii="Arial" w:eastAsia="Times New Roman" w:hAnsi="Arial" w:cs="Arial"/>
          <w:lang w:val="es-MX"/>
        </w:rPr>
        <w:t>, 2006: 119).</w:t>
      </w:r>
      <w:r w:rsidR="002D67B5">
        <w:rPr>
          <w:rFonts w:ascii="Arial" w:eastAsia="Times New Roman" w:hAnsi="Arial" w:cs="Arial"/>
          <w:lang w:val="es-MX"/>
        </w:rPr>
        <w:t xml:space="preserve"> En tal sentido, la gobernanza regional es una práctica de conducción que involucra la presencia de múltiples actores estatales, sectoriales y sociales, que en su accionar superan las esferas de los Estados </w:t>
      </w:r>
      <w:r w:rsidR="004371ED">
        <w:rPr>
          <w:rFonts w:ascii="Arial" w:eastAsia="Times New Roman" w:hAnsi="Arial" w:cs="Arial"/>
          <w:lang w:val="es-MX"/>
        </w:rPr>
        <w:t>n</w:t>
      </w:r>
      <w:r w:rsidR="002D67B5">
        <w:rPr>
          <w:rFonts w:ascii="Arial" w:eastAsia="Times New Roman" w:hAnsi="Arial" w:cs="Arial"/>
          <w:lang w:val="es-MX"/>
        </w:rPr>
        <w:t xml:space="preserve">acionales. </w:t>
      </w:r>
    </w:p>
    <w:p w14:paraId="6B50042B" w14:textId="2B769C14" w:rsidR="006C4E31" w:rsidRPr="00201D7E" w:rsidRDefault="0078440D" w:rsidP="00E6008D">
      <w:pPr>
        <w:jc w:val="both"/>
        <w:rPr>
          <w:rFonts w:ascii="Arial" w:eastAsia="Times New Roman" w:hAnsi="Arial" w:cs="Arial"/>
          <w:lang w:val="es-MX"/>
        </w:rPr>
      </w:pPr>
      <w:r>
        <w:rPr>
          <w:rFonts w:ascii="Arial" w:eastAsia="Times New Roman" w:hAnsi="Arial" w:cs="Arial"/>
          <w:lang w:val="es-MX"/>
        </w:rPr>
        <w:t xml:space="preserve">De cara </w:t>
      </w:r>
      <w:r w:rsidR="00763CBF" w:rsidRPr="00201D7E">
        <w:rPr>
          <w:rFonts w:ascii="Arial" w:eastAsia="Times New Roman" w:hAnsi="Arial" w:cs="Arial"/>
          <w:lang w:val="es-MX"/>
        </w:rPr>
        <w:t>a estos probl</w:t>
      </w:r>
      <w:r w:rsidR="00201D7E">
        <w:rPr>
          <w:rFonts w:ascii="Arial" w:eastAsia="Times New Roman" w:hAnsi="Arial" w:cs="Arial"/>
          <w:lang w:val="es-MX"/>
        </w:rPr>
        <w:t>e</w:t>
      </w:r>
      <w:r w:rsidR="00763CBF" w:rsidRPr="00201D7E">
        <w:rPr>
          <w:rFonts w:ascii="Arial" w:eastAsia="Times New Roman" w:hAnsi="Arial" w:cs="Arial"/>
          <w:lang w:val="es-MX"/>
        </w:rPr>
        <w:t xml:space="preserve">mas, surgen diversas iniciativas, que buscan dar respuesta </w:t>
      </w:r>
      <w:r>
        <w:rPr>
          <w:rFonts w:ascii="Arial" w:eastAsia="Times New Roman" w:hAnsi="Arial" w:cs="Arial"/>
          <w:lang w:val="es-MX"/>
        </w:rPr>
        <w:t>en el marco de una</w:t>
      </w:r>
      <w:r w:rsidR="00763CBF" w:rsidRPr="00201D7E">
        <w:rPr>
          <w:rFonts w:ascii="Arial" w:eastAsia="Times New Roman" w:hAnsi="Arial" w:cs="Arial"/>
          <w:lang w:val="es-MX"/>
        </w:rPr>
        <w:t xml:space="preserve"> agenda </w:t>
      </w:r>
      <w:r w:rsidRPr="00201D7E">
        <w:rPr>
          <w:rFonts w:ascii="Arial" w:eastAsia="Times New Roman" w:hAnsi="Arial" w:cs="Arial"/>
          <w:lang w:val="es-MX"/>
        </w:rPr>
        <w:t xml:space="preserve">global </w:t>
      </w:r>
      <w:r w:rsidR="00763CBF" w:rsidRPr="00201D7E">
        <w:rPr>
          <w:rFonts w:ascii="Arial" w:eastAsia="Times New Roman" w:hAnsi="Arial" w:cs="Arial"/>
          <w:lang w:val="es-MX"/>
        </w:rPr>
        <w:t xml:space="preserve">del desarrollo. </w:t>
      </w:r>
      <w:r w:rsidR="005126A5" w:rsidRPr="00201D7E">
        <w:rPr>
          <w:rFonts w:ascii="Arial" w:eastAsia="Times New Roman" w:hAnsi="Arial" w:cs="Arial"/>
          <w:lang w:val="es-MX"/>
        </w:rPr>
        <w:t>Dentro de los más importantes, se destaca la iniciativa promovida por el Sistema de Naciones Unidas, referida a los Objetivos de Desarrollo Sostenible 2030 (ODS)</w:t>
      </w:r>
      <w:r w:rsidR="002D67B5">
        <w:rPr>
          <w:rStyle w:val="Refdenotaalpie"/>
          <w:rFonts w:ascii="Arial" w:eastAsia="Times New Roman" w:hAnsi="Arial" w:cs="Arial"/>
          <w:lang w:val="es-MX"/>
        </w:rPr>
        <w:footnoteReference w:id="2"/>
      </w:r>
      <w:r w:rsidR="005126A5" w:rsidRPr="00201D7E">
        <w:rPr>
          <w:rFonts w:ascii="Arial" w:eastAsia="Times New Roman" w:hAnsi="Arial" w:cs="Arial"/>
          <w:lang w:val="es-MX"/>
        </w:rPr>
        <w:t>. Además de los</w:t>
      </w:r>
      <w:r w:rsidR="00763CBF" w:rsidRPr="00201D7E">
        <w:rPr>
          <w:rFonts w:ascii="Arial" w:eastAsia="Times New Roman" w:hAnsi="Arial" w:cs="Arial"/>
          <w:lang w:val="es-MX"/>
        </w:rPr>
        <w:t xml:space="preserve"> ODS</w:t>
      </w:r>
      <w:r w:rsidR="005126A5" w:rsidRPr="00201D7E">
        <w:rPr>
          <w:rFonts w:ascii="Arial" w:eastAsia="Times New Roman" w:hAnsi="Arial" w:cs="Arial"/>
          <w:lang w:val="es-MX"/>
        </w:rPr>
        <w:t xml:space="preserve">, existen otros importantes </w:t>
      </w:r>
      <w:r w:rsidR="00ED1FDC" w:rsidRPr="00AD204C">
        <w:rPr>
          <w:rFonts w:ascii="Arial" w:eastAsia="Times New Roman" w:hAnsi="Arial" w:cs="Arial"/>
          <w:lang w:val="es-MX"/>
        </w:rPr>
        <w:t>instrumentos</w:t>
      </w:r>
      <w:r w:rsidR="005126A5" w:rsidRPr="00AD204C">
        <w:rPr>
          <w:rFonts w:ascii="Arial" w:eastAsia="Times New Roman" w:hAnsi="Arial" w:cs="Arial"/>
          <w:lang w:val="es-MX"/>
        </w:rPr>
        <w:t xml:space="preserve"> de </w:t>
      </w:r>
      <w:r w:rsidR="00F428C8" w:rsidRPr="00AD204C">
        <w:rPr>
          <w:rFonts w:ascii="Arial" w:eastAsia="Times New Roman" w:hAnsi="Arial" w:cs="Arial"/>
          <w:lang w:val="es-MX"/>
        </w:rPr>
        <w:t xml:space="preserve">promoción del desarrollo </w:t>
      </w:r>
      <w:r w:rsidR="008E6703" w:rsidRPr="00AD204C">
        <w:rPr>
          <w:rFonts w:ascii="Arial" w:eastAsia="Times New Roman" w:hAnsi="Arial" w:cs="Arial"/>
          <w:lang w:val="es-MX"/>
        </w:rPr>
        <w:t xml:space="preserve">regional y </w:t>
      </w:r>
      <w:r w:rsidR="00F428C8" w:rsidRPr="00AD204C">
        <w:rPr>
          <w:rFonts w:ascii="Arial" w:eastAsia="Times New Roman" w:hAnsi="Arial" w:cs="Arial"/>
          <w:lang w:val="es-MX"/>
        </w:rPr>
        <w:t>global</w:t>
      </w:r>
      <w:r w:rsidR="005126A5" w:rsidRPr="00201D7E">
        <w:rPr>
          <w:rStyle w:val="Refdenotaalpie"/>
          <w:rFonts w:ascii="Arial" w:eastAsia="Times New Roman" w:hAnsi="Arial" w:cs="Arial"/>
          <w:lang w:val="es-MX"/>
        </w:rPr>
        <w:footnoteReference w:id="3"/>
      </w:r>
      <w:r w:rsidR="005126A5" w:rsidRPr="00201D7E">
        <w:rPr>
          <w:rFonts w:ascii="Arial" w:eastAsia="Times New Roman" w:hAnsi="Arial" w:cs="Arial"/>
          <w:lang w:val="es-MX"/>
        </w:rPr>
        <w:t>, que</w:t>
      </w:r>
      <w:r w:rsidR="00644A20" w:rsidRPr="00201D7E">
        <w:rPr>
          <w:rFonts w:ascii="Arial" w:eastAsia="Times New Roman" w:hAnsi="Arial" w:cs="Arial"/>
          <w:lang w:val="es-MX"/>
        </w:rPr>
        <w:t xml:space="preserve"> </w:t>
      </w:r>
      <w:r w:rsidR="00ED1FDC" w:rsidRPr="00201D7E">
        <w:rPr>
          <w:rFonts w:ascii="Arial" w:eastAsia="Times New Roman" w:hAnsi="Arial" w:cs="Arial"/>
          <w:lang w:val="es-MX"/>
        </w:rPr>
        <w:t>tienen un punto crítico</w:t>
      </w:r>
      <w:r w:rsidR="00644A20" w:rsidRPr="00201D7E">
        <w:rPr>
          <w:rFonts w:ascii="Arial" w:eastAsia="Times New Roman" w:hAnsi="Arial" w:cs="Arial"/>
          <w:lang w:val="es-MX"/>
        </w:rPr>
        <w:t xml:space="preserve"> en común</w:t>
      </w:r>
      <w:r w:rsidR="00ED1FDC" w:rsidRPr="00201D7E">
        <w:rPr>
          <w:rFonts w:ascii="Arial" w:eastAsia="Times New Roman" w:hAnsi="Arial" w:cs="Arial"/>
          <w:lang w:val="es-MX"/>
        </w:rPr>
        <w:t xml:space="preserve">: la </w:t>
      </w:r>
      <w:r w:rsidR="004371ED">
        <w:rPr>
          <w:rFonts w:ascii="Arial" w:eastAsia="Times New Roman" w:hAnsi="Arial" w:cs="Arial"/>
          <w:lang w:val="es-MX"/>
        </w:rPr>
        <w:t xml:space="preserve">relativa </w:t>
      </w:r>
      <w:r w:rsidR="00ED1FDC" w:rsidRPr="00201D7E">
        <w:rPr>
          <w:rFonts w:ascii="Arial" w:eastAsia="Times New Roman" w:hAnsi="Arial" w:cs="Arial"/>
          <w:lang w:val="es-MX"/>
        </w:rPr>
        <w:t xml:space="preserve">debilidad de los mecanismos para </w:t>
      </w:r>
      <w:r w:rsidR="00F428C8" w:rsidRPr="00201D7E">
        <w:rPr>
          <w:rFonts w:ascii="Arial" w:eastAsia="Times New Roman" w:hAnsi="Arial" w:cs="Arial"/>
          <w:lang w:val="es-MX"/>
        </w:rPr>
        <w:t>brin</w:t>
      </w:r>
      <w:r w:rsidR="00ED1FDC" w:rsidRPr="00201D7E">
        <w:rPr>
          <w:rFonts w:ascii="Arial" w:eastAsia="Times New Roman" w:hAnsi="Arial" w:cs="Arial"/>
          <w:lang w:val="es-MX"/>
        </w:rPr>
        <w:t xml:space="preserve">dar seguimiento </w:t>
      </w:r>
      <w:r w:rsidR="00F428C8" w:rsidRPr="00201D7E">
        <w:rPr>
          <w:rFonts w:ascii="Arial" w:eastAsia="Times New Roman" w:hAnsi="Arial" w:cs="Arial"/>
          <w:lang w:val="es-MX"/>
        </w:rPr>
        <w:t xml:space="preserve">y apoyo técnico </w:t>
      </w:r>
      <w:r w:rsidR="00ED1FDC" w:rsidRPr="00AD204C">
        <w:rPr>
          <w:rFonts w:ascii="Arial" w:eastAsia="Times New Roman" w:hAnsi="Arial" w:cs="Arial"/>
          <w:lang w:val="es-MX"/>
        </w:rPr>
        <w:t>a la efectiva implementación de esos planes</w:t>
      </w:r>
      <w:r w:rsidR="00ED1FDC" w:rsidRPr="00201D7E">
        <w:rPr>
          <w:rFonts w:ascii="Arial" w:eastAsia="Times New Roman" w:hAnsi="Arial" w:cs="Arial"/>
          <w:lang w:val="es-MX"/>
        </w:rPr>
        <w:t xml:space="preserve">. </w:t>
      </w:r>
    </w:p>
    <w:p w14:paraId="77BCCC32" w14:textId="06DC55CA" w:rsidR="00064B7C" w:rsidRPr="00E6008D" w:rsidRDefault="00644A20" w:rsidP="00577500">
      <w:pPr>
        <w:jc w:val="both"/>
        <w:rPr>
          <w:rFonts w:ascii="Arial" w:eastAsia="Times New Roman" w:hAnsi="Arial" w:cs="Arial"/>
          <w:lang w:val="es-MX"/>
        </w:rPr>
      </w:pPr>
      <w:r w:rsidRPr="00201D7E">
        <w:rPr>
          <w:rFonts w:ascii="Arial" w:eastAsia="Times New Roman" w:hAnsi="Arial" w:cs="Arial"/>
          <w:lang w:val="es-MX"/>
        </w:rPr>
        <w:t xml:space="preserve">Frente a esa debilidad de los mecanismos de </w:t>
      </w:r>
      <w:r w:rsidRPr="00201D7E">
        <w:rPr>
          <w:rFonts w:ascii="Arial" w:eastAsia="Times New Roman" w:hAnsi="Arial" w:cs="Arial"/>
          <w:i/>
          <w:lang w:val="es-MX"/>
        </w:rPr>
        <w:t>enforcement</w:t>
      </w:r>
      <w:r w:rsidRPr="00201D7E">
        <w:rPr>
          <w:rFonts w:ascii="Arial" w:eastAsia="Times New Roman" w:hAnsi="Arial" w:cs="Arial"/>
          <w:lang w:val="es-MX"/>
        </w:rPr>
        <w:t xml:space="preserve"> de la agenda del desarrollo, diversos autores </w:t>
      </w:r>
      <w:r w:rsidR="00064B7C" w:rsidRPr="00AD204C">
        <w:rPr>
          <w:rFonts w:ascii="Arial" w:eastAsia="Times New Roman" w:hAnsi="Arial" w:cs="Arial"/>
          <w:lang w:val="es-MX"/>
        </w:rPr>
        <w:t>reivindican la importancia, frente a la existencia de unas pocas organizaciones globales especializadas, de construir una “red densa” de instituciones mundiales, regionales y nacionales. Est</w:t>
      </w:r>
      <w:r w:rsidR="005126A5" w:rsidRPr="00AD204C">
        <w:rPr>
          <w:rFonts w:ascii="Arial" w:eastAsia="Times New Roman" w:hAnsi="Arial" w:cs="Arial"/>
          <w:lang w:val="es-MX"/>
        </w:rPr>
        <w:t>a red densa</w:t>
      </w:r>
      <w:r w:rsidR="00064B7C" w:rsidRPr="00AD204C">
        <w:rPr>
          <w:rFonts w:ascii="Arial" w:eastAsia="Times New Roman" w:hAnsi="Arial" w:cs="Arial"/>
          <w:lang w:val="es-MX"/>
        </w:rPr>
        <w:t xml:space="preserve"> sería </w:t>
      </w:r>
      <w:r w:rsidR="005126A5" w:rsidRPr="00AD204C">
        <w:rPr>
          <w:rFonts w:ascii="Arial" w:eastAsia="Times New Roman" w:hAnsi="Arial" w:cs="Arial"/>
          <w:lang w:val="es-MX"/>
        </w:rPr>
        <w:t>la forma</w:t>
      </w:r>
      <w:r w:rsidR="00064B7C" w:rsidRPr="00AD204C">
        <w:rPr>
          <w:rFonts w:ascii="Arial" w:eastAsia="Times New Roman" w:hAnsi="Arial" w:cs="Arial"/>
          <w:lang w:val="es-MX"/>
        </w:rPr>
        <w:t xml:space="preserve"> más apropiad</w:t>
      </w:r>
      <w:r w:rsidR="005126A5" w:rsidRPr="00CC010C">
        <w:rPr>
          <w:rFonts w:ascii="Arial" w:eastAsia="Times New Roman" w:hAnsi="Arial" w:cs="Arial"/>
          <w:lang w:val="es-MX"/>
        </w:rPr>
        <w:t>a</w:t>
      </w:r>
      <w:r w:rsidR="00064B7C" w:rsidRPr="00CC010C">
        <w:rPr>
          <w:rFonts w:ascii="Arial" w:eastAsia="Times New Roman" w:hAnsi="Arial" w:cs="Arial"/>
          <w:lang w:val="es-MX"/>
        </w:rPr>
        <w:t xml:space="preserve"> para promover la cooperación global, favoreciendo la interacción entre </w:t>
      </w:r>
      <w:r w:rsidR="005126A5" w:rsidRPr="00BC1EF8">
        <w:rPr>
          <w:rFonts w:ascii="Arial" w:eastAsia="Times New Roman" w:hAnsi="Arial" w:cs="Arial"/>
          <w:lang w:val="es-MX"/>
        </w:rPr>
        <w:t xml:space="preserve">los ámbitos globales, regionales, subregionales y nacionales en las </w:t>
      </w:r>
      <w:r w:rsidR="00064B7C" w:rsidRPr="00BC1EF8">
        <w:rPr>
          <w:rFonts w:ascii="Arial" w:eastAsia="Times New Roman" w:hAnsi="Arial" w:cs="Arial"/>
          <w:lang w:val="es-MX"/>
        </w:rPr>
        <w:t>diversas dimensiones</w:t>
      </w:r>
      <w:r w:rsidR="005126A5" w:rsidRPr="00BC1EF8">
        <w:rPr>
          <w:rFonts w:ascii="Arial" w:eastAsia="Times New Roman" w:hAnsi="Arial" w:cs="Arial"/>
          <w:lang w:val="es-MX"/>
        </w:rPr>
        <w:t xml:space="preserve"> del desarrollo</w:t>
      </w:r>
      <w:r w:rsidR="00064B7C" w:rsidRPr="005207EE">
        <w:rPr>
          <w:rFonts w:ascii="Arial" w:eastAsia="Times New Roman" w:hAnsi="Arial" w:cs="Arial"/>
          <w:lang w:val="es-MX"/>
        </w:rPr>
        <w:t>. (</w:t>
      </w:r>
      <w:r w:rsidR="00676417" w:rsidRPr="00764242">
        <w:rPr>
          <w:rFonts w:ascii="Arial" w:eastAsia="Times New Roman" w:hAnsi="Arial" w:cs="Arial"/>
          <w:lang w:val="es-MX"/>
        </w:rPr>
        <w:t>Ocampo, 2015; Bárcena, 2015)</w:t>
      </w:r>
      <w:r w:rsidR="0096596A">
        <w:rPr>
          <w:rFonts w:ascii="Arial" w:eastAsia="Times New Roman" w:hAnsi="Arial" w:cs="Arial"/>
          <w:lang w:val="es-MX"/>
        </w:rPr>
        <w:t>.</w:t>
      </w:r>
    </w:p>
    <w:p w14:paraId="14302FE2" w14:textId="408E7DC3" w:rsidR="000B0F35" w:rsidRPr="005207EE" w:rsidRDefault="009F65FF" w:rsidP="00F0232B">
      <w:pPr>
        <w:jc w:val="both"/>
        <w:rPr>
          <w:rFonts w:ascii="Arial" w:eastAsia="Times New Roman" w:hAnsi="Arial" w:cs="Arial"/>
          <w:lang w:val="es-MX"/>
        </w:rPr>
      </w:pPr>
      <w:r>
        <w:rPr>
          <w:rFonts w:ascii="Arial" w:eastAsia="Times New Roman" w:hAnsi="Arial" w:cs="Arial"/>
          <w:lang w:val="es-MX"/>
        </w:rPr>
        <w:t>Según</w:t>
      </w:r>
      <w:r w:rsidRPr="00577500">
        <w:rPr>
          <w:rFonts w:ascii="Arial" w:eastAsia="Times New Roman" w:hAnsi="Arial" w:cs="Arial"/>
          <w:lang w:val="es-MX"/>
        </w:rPr>
        <w:t xml:space="preserve"> </w:t>
      </w:r>
      <w:r w:rsidR="00267F21" w:rsidRPr="00577500">
        <w:rPr>
          <w:rFonts w:ascii="Arial" w:eastAsia="Times New Roman" w:hAnsi="Arial" w:cs="Arial"/>
          <w:lang w:val="es-MX"/>
        </w:rPr>
        <w:t>Bárcena</w:t>
      </w:r>
      <w:r w:rsidR="00676417" w:rsidRPr="00F0232B">
        <w:rPr>
          <w:rFonts w:ascii="Arial" w:eastAsia="Times New Roman" w:hAnsi="Arial" w:cs="Arial"/>
          <w:lang w:val="es-MX"/>
        </w:rPr>
        <w:t xml:space="preserve"> (2015)</w:t>
      </w:r>
      <w:r w:rsidR="00364F52" w:rsidRPr="00201D7E">
        <w:rPr>
          <w:rFonts w:ascii="Arial" w:eastAsia="Times New Roman" w:hAnsi="Arial" w:cs="Arial"/>
          <w:lang w:val="es-MX"/>
        </w:rPr>
        <w:t>, los ámbitos regionales y subregionales son los más idóneos</w:t>
      </w:r>
      <w:r w:rsidR="00267F21" w:rsidRPr="00201D7E">
        <w:rPr>
          <w:rFonts w:ascii="Arial" w:eastAsia="Times New Roman" w:hAnsi="Arial" w:cs="Arial"/>
          <w:lang w:val="es-MX"/>
        </w:rPr>
        <w:t xml:space="preserve"> para promover la inclusión y protección de los intereses de los actores más débiles. Para Bárcena, es</w:t>
      </w:r>
      <w:r w:rsidR="00F034CE" w:rsidRPr="00201D7E">
        <w:rPr>
          <w:rFonts w:ascii="Arial" w:eastAsia="Times New Roman" w:hAnsi="Arial" w:cs="Arial"/>
          <w:lang w:val="es-MX"/>
        </w:rPr>
        <w:t xml:space="preserve"> necesario promover la</w:t>
      </w:r>
      <w:r w:rsidR="00267F21" w:rsidRPr="00201D7E">
        <w:rPr>
          <w:rFonts w:ascii="Arial" w:eastAsia="Times New Roman" w:hAnsi="Arial" w:cs="Arial"/>
          <w:lang w:val="es-MX"/>
        </w:rPr>
        <w:t xml:space="preserve"> “descolonización” del proceso de cooperación global, </w:t>
      </w:r>
      <w:r w:rsidR="00F034CE" w:rsidRPr="00201D7E">
        <w:rPr>
          <w:rFonts w:ascii="Arial" w:eastAsia="Times New Roman" w:hAnsi="Arial" w:cs="Arial"/>
          <w:lang w:val="es-MX"/>
        </w:rPr>
        <w:t>para</w:t>
      </w:r>
      <w:r w:rsidR="00267F21" w:rsidRPr="00201D7E">
        <w:rPr>
          <w:rFonts w:ascii="Arial" w:eastAsia="Times New Roman" w:hAnsi="Arial" w:cs="Arial"/>
          <w:lang w:val="es-MX"/>
        </w:rPr>
        <w:t xml:space="preserve"> desarrollar relaciones más eficaces y respetuosas entre las instancias globales y los espacios nacionales responsables de implementar la agenda del desarrollo. </w:t>
      </w:r>
      <w:r w:rsidR="00676417" w:rsidRPr="00201D7E">
        <w:rPr>
          <w:rFonts w:ascii="Arial" w:eastAsia="Times New Roman" w:hAnsi="Arial" w:cs="Arial"/>
          <w:lang w:val="es-MX"/>
        </w:rPr>
        <w:t>La participación de los países que comparten ciertas características, en espacios subregionales, es una forma de potenciar la voz de actores de menor dimensión relativa y de propender a establecer relaciones de poder más equilibradas.</w:t>
      </w:r>
      <w:r>
        <w:rPr>
          <w:rFonts w:ascii="Arial" w:eastAsia="Times New Roman" w:hAnsi="Arial" w:cs="Arial"/>
          <w:lang w:val="es-MX"/>
        </w:rPr>
        <w:t xml:space="preserve"> </w:t>
      </w:r>
      <w:r w:rsidR="005126A5" w:rsidRPr="00201D7E">
        <w:rPr>
          <w:rFonts w:ascii="Arial" w:eastAsia="Times New Roman" w:hAnsi="Arial" w:cs="Arial"/>
          <w:lang w:val="es-MX"/>
        </w:rPr>
        <w:t>Así es que, e</w:t>
      </w:r>
      <w:r w:rsidR="000B0F35" w:rsidRPr="00201D7E">
        <w:rPr>
          <w:rFonts w:ascii="Arial" w:eastAsia="Times New Roman" w:hAnsi="Arial" w:cs="Arial"/>
          <w:lang w:val="es-MX"/>
        </w:rPr>
        <w:t xml:space="preserve">n contextos de fuerte interdependencia, </w:t>
      </w:r>
      <w:r w:rsidR="005126A5" w:rsidRPr="00201D7E">
        <w:rPr>
          <w:rFonts w:ascii="Arial" w:eastAsia="Times New Roman" w:hAnsi="Arial" w:cs="Arial"/>
          <w:lang w:val="es-MX"/>
        </w:rPr>
        <w:t xml:space="preserve">se impone </w:t>
      </w:r>
      <w:r w:rsidR="000B0F35" w:rsidRPr="00201D7E">
        <w:rPr>
          <w:rFonts w:ascii="Arial" w:eastAsia="Times New Roman" w:hAnsi="Arial" w:cs="Arial"/>
          <w:lang w:val="es-MX"/>
        </w:rPr>
        <w:t>el concepto de “soberanía inteligente”</w:t>
      </w:r>
      <w:r w:rsidR="005126A5" w:rsidRPr="00201D7E">
        <w:rPr>
          <w:rFonts w:ascii="Arial" w:eastAsia="Times New Roman" w:hAnsi="Arial" w:cs="Arial"/>
          <w:lang w:val="es-MX"/>
        </w:rPr>
        <w:t>, el cual</w:t>
      </w:r>
      <w:r w:rsidR="000B0F35" w:rsidRPr="00201D7E">
        <w:rPr>
          <w:rFonts w:ascii="Arial" w:eastAsia="Times New Roman" w:hAnsi="Arial" w:cs="Arial"/>
          <w:lang w:val="es-MX"/>
        </w:rPr>
        <w:t xml:space="preserve"> busca destacar las ventajas de hacer un uso adecuado de la cooperación internacional. La cooperación </w:t>
      </w:r>
      <w:r w:rsidR="002D67B5">
        <w:rPr>
          <w:rFonts w:ascii="Arial" w:eastAsia="Times New Roman" w:hAnsi="Arial" w:cs="Arial"/>
          <w:lang w:val="es-MX"/>
        </w:rPr>
        <w:t xml:space="preserve">internacional no debería </w:t>
      </w:r>
      <w:r w:rsidR="004371ED">
        <w:rPr>
          <w:rFonts w:ascii="Arial" w:eastAsia="Times New Roman" w:hAnsi="Arial" w:cs="Arial"/>
          <w:lang w:val="es-MX"/>
        </w:rPr>
        <w:t xml:space="preserve">en ningún caso </w:t>
      </w:r>
      <w:r w:rsidR="000B0F35" w:rsidRPr="00201D7E">
        <w:rPr>
          <w:rFonts w:ascii="Arial" w:eastAsia="Times New Roman" w:hAnsi="Arial" w:cs="Arial"/>
          <w:lang w:val="es-MX"/>
        </w:rPr>
        <w:t>afecta</w:t>
      </w:r>
      <w:r w:rsidR="005126A5" w:rsidRPr="00201D7E">
        <w:rPr>
          <w:rFonts w:ascii="Arial" w:eastAsia="Times New Roman" w:hAnsi="Arial" w:cs="Arial"/>
          <w:lang w:val="es-MX"/>
        </w:rPr>
        <w:t>r</w:t>
      </w:r>
      <w:r w:rsidR="000B0F35" w:rsidRPr="00201D7E">
        <w:rPr>
          <w:rFonts w:ascii="Arial" w:eastAsia="Times New Roman" w:hAnsi="Arial" w:cs="Arial"/>
          <w:lang w:val="es-MX"/>
        </w:rPr>
        <w:t xml:space="preserve"> la autonomía decisoria de los países receptores</w:t>
      </w:r>
      <w:r w:rsidR="002D67B5">
        <w:rPr>
          <w:rFonts w:ascii="Arial" w:eastAsia="Times New Roman" w:hAnsi="Arial" w:cs="Arial"/>
          <w:lang w:val="es-MX"/>
        </w:rPr>
        <w:t xml:space="preserve">, sino que debe funcionar </w:t>
      </w:r>
      <w:r w:rsidR="000B0F35" w:rsidRPr="00201D7E">
        <w:rPr>
          <w:rFonts w:ascii="Arial" w:eastAsia="Times New Roman" w:hAnsi="Arial" w:cs="Arial"/>
          <w:lang w:val="es-MX"/>
        </w:rPr>
        <w:t>como un factor que permit</w:t>
      </w:r>
      <w:r w:rsidR="00AA06A3" w:rsidRPr="00201D7E">
        <w:rPr>
          <w:rFonts w:ascii="Arial" w:eastAsia="Times New Roman" w:hAnsi="Arial" w:cs="Arial"/>
          <w:lang w:val="es-MX"/>
        </w:rPr>
        <w:t>a</w:t>
      </w:r>
      <w:r w:rsidR="000B0F35" w:rsidRPr="00201D7E">
        <w:rPr>
          <w:rFonts w:ascii="Arial" w:eastAsia="Times New Roman" w:hAnsi="Arial" w:cs="Arial"/>
          <w:lang w:val="es-MX"/>
        </w:rPr>
        <w:t xml:space="preserve"> reforzar la eficacia de las acciones de los Estados soberanos</w:t>
      </w:r>
      <w:r w:rsidR="00AA06A3" w:rsidRPr="00201D7E">
        <w:rPr>
          <w:rFonts w:ascii="Arial" w:eastAsia="Times New Roman" w:hAnsi="Arial" w:cs="Arial"/>
          <w:lang w:val="es-MX"/>
        </w:rPr>
        <w:t xml:space="preserve"> en sus respectivos territorios</w:t>
      </w:r>
      <w:r w:rsidR="000B0F35" w:rsidRPr="00201D7E">
        <w:rPr>
          <w:rFonts w:ascii="Arial" w:eastAsia="Times New Roman" w:hAnsi="Arial" w:cs="Arial"/>
          <w:lang w:val="es-MX"/>
        </w:rPr>
        <w:t xml:space="preserve"> </w:t>
      </w:r>
      <w:r w:rsidR="00F034CE" w:rsidRPr="00201D7E">
        <w:rPr>
          <w:rFonts w:ascii="Arial" w:eastAsia="Times New Roman" w:hAnsi="Arial" w:cs="Arial"/>
          <w:lang w:val="es-MX"/>
        </w:rPr>
        <w:t>(Kaul y Blondlin, 2015)</w:t>
      </w:r>
      <w:r w:rsidR="005207EE">
        <w:rPr>
          <w:rFonts w:ascii="Arial" w:eastAsia="Times New Roman" w:hAnsi="Arial" w:cs="Arial"/>
          <w:lang w:val="es-MX"/>
        </w:rPr>
        <w:t>.</w:t>
      </w:r>
    </w:p>
    <w:p w14:paraId="317696E8" w14:textId="1297457B" w:rsidR="002D67B5" w:rsidRDefault="00AA06A3" w:rsidP="00CC010C">
      <w:pPr>
        <w:jc w:val="both"/>
        <w:rPr>
          <w:rFonts w:ascii="Arial" w:eastAsia="Times New Roman" w:hAnsi="Arial" w:cs="Arial"/>
          <w:lang w:val="es-ES_tradnl"/>
        </w:rPr>
      </w:pPr>
      <w:r w:rsidRPr="00764242">
        <w:rPr>
          <w:rFonts w:ascii="Arial" w:eastAsia="Times New Roman" w:hAnsi="Arial" w:cs="Arial"/>
          <w:lang w:val="es-MX"/>
        </w:rPr>
        <w:t>Entonces, l</w:t>
      </w:r>
      <w:r w:rsidR="00676417" w:rsidRPr="00E6008D">
        <w:rPr>
          <w:rFonts w:ascii="Arial" w:eastAsia="Times New Roman" w:hAnsi="Arial" w:cs="Arial"/>
          <w:lang w:val="es-MX"/>
        </w:rPr>
        <w:t xml:space="preserve">a </w:t>
      </w:r>
      <w:r w:rsidR="004371ED">
        <w:rPr>
          <w:rFonts w:ascii="Arial" w:eastAsia="Times New Roman" w:hAnsi="Arial" w:cs="Arial"/>
          <w:lang w:val="es-MX"/>
        </w:rPr>
        <w:t xml:space="preserve">integración regional </w:t>
      </w:r>
      <w:r w:rsidR="00676417" w:rsidRPr="00E6008D">
        <w:rPr>
          <w:rFonts w:ascii="Arial" w:eastAsia="Times New Roman" w:hAnsi="Arial" w:cs="Arial"/>
          <w:lang w:val="es-MX"/>
        </w:rPr>
        <w:t>aparece como una estrategia apropiada para países de menor desarrollo relativo</w:t>
      </w:r>
      <w:r w:rsidRPr="00577500">
        <w:rPr>
          <w:rFonts w:ascii="Arial" w:eastAsia="Times New Roman" w:hAnsi="Arial" w:cs="Arial"/>
          <w:lang w:val="es-MX"/>
        </w:rPr>
        <w:t>. P</w:t>
      </w:r>
      <w:r w:rsidR="00676417" w:rsidRPr="00577500">
        <w:rPr>
          <w:rFonts w:ascii="Arial" w:eastAsia="Times New Roman" w:hAnsi="Arial" w:cs="Arial"/>
          <w:lang w:val="es-MX"/>
        </w:rPr>
        <w:t>ero también resulta adecuad</w:t>
      </w:r>
      <w:r w:rsidR="00201D7E">
        <w:rPr>
          <w:rFonts w:ascii="Arial" w:eastAsia="Times New Roman" w:hAnsi="Arial" w:cs="Arial"/>
          <w:lang w:val="es-MX"/>
        </w:rPr>
        <w:t>a</w:t>
      </w:r>
      <w:r w:rsidR="00676417" w:rsidRPr="00201D7E">
        <w:rPr>
          <w:rFonts w:ascii="Arial" w:eastAsia="Times New Roman" w:hAnsi="Arial" w:cs="Arial"/>
          <w:lang w:val="es-MX"/>
        </w:rPr>
        <w:t xml:space="preserve"> para aquellos de renta media alta, que </w:t>
      </w:r>
      <w:r w:rsidR="00472B06" w:rsidRPr="00AD204C">
        <w:rPr>
          <w:rFonts w:ascii="Arial" w:eastAsia="Times New Roman" w:hAnsi="Arial" w:cs="Arial"/>
          <w:lang w:val="es-MX"/>
        </w:rPr>
        <w:t>afronta</w:t>
      </w:r>
      <w:r w:rsidR="00676417" w:rsidRPr="00AD204C">
        <w:rPr>
          <w:rFonts w:ascii="Arial" w:eastAsia="Times New Roman" w:hAnsi="Arial" w:cs="Arial"/>
          <w:lang w:val="es-MX"/>
        </w:rPr>
        <w:t>n</w:t>
      </w:r>
      <w:r w:rsidR="00472B06" w:rsidRPr="00AD204C">
        <w:rPr>
          <w:rFonts w:ascii="Arial" w:eastAsia="Times New Roman" w:hAnsi="Arial" w:cs="Arial"/>
          <w:lang w:val="es-MX"/>
        </w:rPr>
        <w:t xml:space="preserve"> el problema del “desarrollo en transición”. Potenciar enfoques colectivos, entre actores regionales, para la captación de</w:t>
      </w:r>
      <w:r w:rsidR="00201D7E">
        <w:rPr>
          <w:rFonts w:ascii="Arial" w:eastAsia="Times New Roman" w:hAnsi="Arial" w:cs="Arial"/>
          <w:lang w:val="es-MX"/>
        </w:rPr>
        <w:t xml:space="preserve"> recurso técnicos y financieros de</w:t>
      </w:r>
      <w:r w:rsidR="00472B06" w:rsidRPr="00201D7E">
        <w:rPr>
          <w:rFonts w:ascii="Arial" w:eastAsia="Times New Roman" w:hAnsi="Arial" w:cs="Arial"/>
          <w:lang w:val="es-MX"/>
        </w:rPr>
        <w:t xml:space="preserve"> la cooperación internacional aparece como una estrategia óptima</w:t>
      </w:r>
      <w:r w:rsidR="00201D7E">
        <w:rPr>
          <w:rFonts w:ascii="Arial" w:eastAsia="Times New Roman" w:hAnsi="Arial" w:cs="Arial"/>
          <w:lang w:val="es-MX"/>
        </w:rPr>
        <w:t xml:space="preserve"> y oportuna para la disminución de las asimetrías al interior de los Estados, de los bloques regionales y globales</w:t>
      </w:r>
      <w:r w:rsidR="00676417" w:rsidRPr="00201D7E">
        <w:rPr>
          <w:rFonts w:ascii="Arial" w:eastAsia="Times New Roman" w:hAnsi="Arial" w:cs="Arial"/>
          <w:lang w:val="es-MX"/>
        </w:rPr>
        <w:t xml:space="preserve">. </w:t>
      </w:r>
      <w:r w:rsidR="00472B06" w:rsidRPr="00201D7E">
        <w:rPr>
          <w:rFonts w:ascii="Arial" w:eastAsia="Times New Roman" w:hAnsi="Arial" w:cs="Arial"/>
          <w:lang w:val="es-MX"/>
        </w:rPr>
        <w:t xml:space="preserve">En particular, </w:t>
      </w:r>
      <w:r w:rsidR="00201D7E">
        <w:rPr>
          <w:rFonts w:ascii="Arial" w:eastAsia="Times New Roman" w:hAnsi="Arial" w:cs="Arial"/>
          <w:lang w:val="es-MX"/>
        </w:rPr>
        <w:t xml:space="preserve">es una oportunidad para fortalecer </w:t>
      </w:r>
      <w:r w:rsidR="00472B06" w:rsidRPr="00201D7E">
        <w:rPr>
          <w:rFonts w:ascii="Arial" w:eastAsia="Times New Roman" w:hAnsi="Arial" w:cs="Arial"/>
          <w:lang w:val="es-MX"/>
        </w:rPr>
        <w:t>las estrategias de cooperación triangular, en donde los procesos de transferencia de conocimientos y</w:t>
      </w:r>
      <w:r w:rsidR="00CC010C">
        <w:rPr>
          <w:rFonts w:ascii="Arial" w:eastAsia="Times New Roman" w:hAnsi="Arial" w:cs="Arial"/>
          <w:lang w:val="es-MX"/>
        </w:rPr>
        <w:t xml:space="preserve"> </w:t>
      </w:r>
      <w:r w:rsidR="00472B06" w:rsidRPr="00201D7E">
        <w:rPr>
          <w:rFonts w:ascii="Arial" w:eastAsia="Times New Roman" w:hAnsi="Arial" w:cs="Arial"/>
          <w:lang w:val="es-MX"/>
        </w:rPr>
        <w:lastRenderedPageBreak/>
        <w:t xml:space="preserve">tecnologías se ven facilitados por la presencia de socios con niveles de desarrollo similares </w:t>
      </w:r>
      <w:r w:rsidR="00676417" w:rsidRPr="00201D7E">
        <w:rPr>
          <w:rFonts w:ascii="Arial" w:eastAsia="Times New Roman" w:hAnsi="Arial" w:cs="Arial"/>
          <w:lang w:val="es-MX"/>
        </w:rPr>
        <w:t>(CEPAL, 2018)</w:t>
      </w:r>
      <w:r w:rsidR="00AD204C">
        <w:rPr>
          <w:rStyle w:val="Refdenotaalpie"/>
          <w:rFonts w:ascii="Arial" w:eastAsia="Times New Roman" w:hAnsi="Arial" w:cs="Arial"/>
          <w:lang w:val="es-MX"/>
        </w:rPr>
        <w:footnoteReference w:id="4"/>
      </w:r>
      <w:r w:rsidR="00201D7E">
        <w:rPr>
          <w:rFonts w:ascii="Arial" w:eastAsia="Times New Roman" w:hAnsi="Arial" w:cs="Arial"/>
          <w:lang w:val="es-MX"/>
        </w:rPr>
        <w:t xml:space="preserve">. </w:t>
      </w:r>
      <w:r w:rsidR="00CC010C">
        <w:rPr>
          <w:rFonts w:ascii="Arial" w:eastAsia="Times New Roman" w:hAnsi="Arial" w:cs="Arial"/>
          <w:lang w:val="es-MX"/>
        </w:rPr>
        <w:t>“</w:t>
      </w:r>
      <w:r w:rsidR="00CC010C" w:rsidRPr="00CC010C">
        <w:rPr>
          <w:rFonts w:ascii="Arial" w:eastAsia="Times New Roman" w:hAnsi="Arial" w:cs="Arial"/>
          <w:lang w:val="es-ES_tradnl"/>
        </w:rPr>
        <w:t xml:space="preserve">La diversidad de conceptualizaciones sobre la cooperación triangular es una de sus principales fortalezas, pero también uno de los principales retos que enfrenta este esquema de cooperación. Como fortaleza, esta falta de rigidez conceptual le permite adoptar diferentes modalidades, generando mecanismos de acción más efectivos y eficientes en determinados contextos. Como </w:t>
      </w:r>
      <w:r w:rsidR="00CC010C">
        <w:rPr>
          <w:rFonts w:ascii="Arial" w:eastAsia="Times New Roman" w:hAnsi="Arial" w:cs="Arial"/>
          <w:lang w:val="es-ES_tradnl"/>
        </w:rPr>
        <w:t>reto</w:t>
      </w:r>
      <w:r w:rsidR="00CC010C" w:rsidRPr="00CC010C">
        <w:rPr>
          <w:rFonts w:ascii="Arial" w:eastAsia="Times New Roman" w:hAnsi="Arial" w:cs="Arial"/>
          <w:lang w:val="es-ES_tradnl"/>
        </w:rPr>
        <w:t xml:space="preserve">, </w:t>
      </w:r>
      <w:r w:rsidR="00CC010C">
        <w:rPr>
          <w:rFonts w:ascii="Arial" w:eastAsia="Times New Roman" w:hAnsi="Arial" w:cs="Arial"/>
          <w:lang w:val="es-ES_tradnl"/>
        </w:rPr>
        <w:t xml:space="preserve">todavía </w:t>
      </w:r>
      <w:r w:rsidR="00CC010C" w:rsidRPr="00CC010C">
        <w:rPr>
          <w:rFonts w:ascii="Arial" w:eastAsia="Times New Roman" w:hAnsi="Arial" w:cs="Arial"/>
          <w:lang w:val="es-ES_tradnl"/>
        </w:rPr>
        <w:t>genera ciertos desafíos en la documentación y sistematización de información sobre cifras que permitan medir y mapear, de manera homologada, estas acciones</w:t>
      </w:r>
      <w:r w:rsidR="00CC010C">
        <w:rPr>
          <w:rFonts w:ascii="Arial" w:eastAsia="Times New Roman" w:hAnsi="Arial" w:cs="Arial"/>
          <w:lang w:val="es-ES_tradnl"/>
        </w:rPr>
        <w:t>” (Oddone y Rodríguez Vázquez, 2016: 181)</w:t>
      </w:r>
      <w:r w:rsidR="00CC010C" w:rsidRPr="00CC010C">
        <w:rPr>
          <w:rFonts w:ascii="Arial" w:eastAsia="Times New Roman" w:hAnsi="Arial" w:cs="Arial"/>
          <w:lang w:val="es-ES_tradnl"/>
        </w:rPr>
        <w:t>.</w:t>
      </w:r>
      <w:r w:rsidR="008F5936">
        <w:rPr>
          <w:rFonts w:ascii="Arial" w:eastAsia="Times New Roman" w:hAnsi="Arial" w:cs="Arial"/>
          <w:lang w:val="es-ES_tradnl"/>
        </w:rPr>
        <w:t xml:space="preserve"> </w:t>
      </w:r>
    </w:p>
    <w:p w14:paraId="591EC945" w14:textId="539D8B6D" w:rsidR="002D67B5" w:rsidRDefault="007262AB" w:rsidP="00CC010C">
      <w:pPr>
        <w:jc w:val="both"/>
        <w:rPr>
          <w:rFonts w:ascii="Arial" w:eastAsia="Times New Roman" w:hAnsi="Arial" w:cs="Arial"/>
          <w:lang w:val="es-ES_tradnl"/>
        </w:rPr>
      </w:pPr>
      <w:r>
        <w:rPr>
          <w:rFonts w:ascii="Arial" w:hAnsi="Arial" w:cs="Arial"/>
        </w:rPr>
        <w:t xml:space="preserve">Debemos </w:t>
      </w:r>
      <w:r w:rsidR="006F4516">
        <w:rPr>
          <w:rFonts w:ascii="Arial" w:hAnsi="Arial" w:cs="Arial"/>
        </w:rPr>
        <w:t>tener presente</w:t>
      </w:r>
      <w:r>
        <w:rPr>
          <w:rFonts w:ascii="Arial" w:hAnsi="Arial" w:cs="Arial"/>
        </w:rPr>
        <w:t xml:space="preserve"> que </w:t>
      </w:r>
      <w:r w:rsidR="002D67B5" w:rsidRPr="00E064B5">
        <w:rPr>
          <w:rFonts w:ascii="Arial" w:hAnsi="Arial" w:cs="Arial"/>
        </w:rPr>
        <w:t>América Latina enfrenta</w:t>
      </w:r>
      <w:r>
        <w:rPr>
          <w:rFonts w:ascii="Arial" w:hAnsi="Arial" w:cs="Arial"/>
        </w:rPr>
        <w:t xml:space="preserve"> </w:t>
      </w:r>
      <w:r w:rsidR="002D67B5" w:rsidRPr="00E064B5">
        <w:rPr>
          <w:rFonts w:ascii="Arial" w:hAnsi="Arial" w:cs="Arial"/>
        </w:rPr>
        <w:t xml:space="preserve">una pérdida de </w:t>
      </w:r>
      <w:r>
        <w:rPr>
          <w:rFonts w:ascii="Arial" w:hAnsi="Arial" w:cs="Arial"/>
        </w:rPr>
        <w:t xml:space="preserve">su </w:t>
      </w:r>
      <w:r w:rsidR="002D67B5" w:rsidRPr="00E064B5">
        <w:rPr>
          <w:rFonts w:ascii="Arial" w:hAnsi="Arial" w:cs="Arial"/>
        </w:rPr>
        <w:t>importancia relativa como receptora de cooperación tradicional</w:t>
      </w:r>
      <w:r>
        <w:rPr>
          <w:rFonts w:ascii="Arial" w:hAnsi="Arial" w:cs="Arial"/>
        </w:rPr>
        <w:t>. L</w:t>
      </w:r>
      <w:r w:rsidR="002D67B5" w:rsidRPr="00E064B5">
        <w:rPr>
          <w:rFonts w:ascii="Arial" w:hAnsi="Arial" w:cs="Arial"/>
        </w:rPr>
        <w:t xml:space="preserve">a mayoría de las naciones de la región </w:t>
      </w:r>
      <w:r w:rsidR="00BD6CCE">
        <w:rPr>
          <w:rFonts w:ascii="Arial" w:hAnsi="Arial" w:cs="Arial"/>
        </w:rPr>
        <w:t>comienzan a ser</w:t>
      </w:r>
      <w:r w:rsidR="002D67B5" w:rsidRPr="00E064B5">
        <w:rPr>
          <w:rFonts w:ascii="Arial" w:hAnsi="Arial" w:cs="Arial"/>
        </w:rPr>
        <w:t xml:space="preserve"> consideradas países de renta media (PRM) y la Ayuda Oficial al Desarrollo (AOD) </w:t>
      </w:r>
      <w:r w:rsidR="004371ED">
        <w:rPr>
          <w:rFonts w:ascii="Arial" w:hAnsi="Arial" w:cs="Arial"/>
        </w:rPr>
        <w:t>se dirige</w:t>
      </w:r>
      <w:r>
        <w:rPr>
          <w:rFonts w:ascii="Arial" w:hAnsi="Arial" w:cs="Arial"/>
        </w:rPr>
        <w:t xml:space="preserve"> mayormente hacia</w:t>
      </w:r>
      <w:r w:rsidR="002D67B5" w:rsidRPr="00E064B5">
        <w:rPr>
          <w:rFonts w:ascii="Arial" w:hAnsi="Arial" w:cs="Arial"/>
        </w:rPr>
        <w:t xml:space="preserve"> regiones como África subsahariana y Asia. </w:t>
      </w:r>
      <w:r w:rsidR="002D67B5" w:rsidRPr="00E064B5">
        <w:rPr>
          <w:rFonts w:ascii="Arial" w:hAnsi="Arial" w:cs="Arial"/>
          <w:color w:val="222222"/>
          <w:shd w:val="clear" w:color="auto" w:fill="FFFFFF"/>
        </w:rPr>
        <w:t xml:space="preserve">La comunidad internacional entiende a los PRM como un todo homogéneo, como si tuviesen el mismo nivel de desarrollo a lo largo y a lo ancho de todo su territorio, dando por descontado las profundas asimetrías y desigualdades interterritoriales que caracterizan a los países de América Latina y </w:t>
      </w:r>
      <w:r w:rsidR="004371ED">
        <w:rPr>
          <w:rFonts w:ascii="Arial" w:hAnsi="Arial" w:cs="Arial"/>
          <w:color w:val="222222"/>
          <w:shd w:val="clear" w:color="auto" w:fill="FFFFFF"/>
        </w:rPr>
        <w:t xml:space="preserve">que reproducen </w:t>
      </w:r>
      <w:r w:rsidR="002D67B5" w:rsidRPr="00E064B5">
        <w:rPr>
          <w:rFonts w:ascii="Arial" w:hAnsi="Arial" w:cs="Arial"/>
          <w:color w:val="222222"/>
          <w:shd w:val="clear" w:color="auto" w:fill="FFFFFF"/>
        </w:rPr>
        <w:t xml:space="preserve">“centros” y “periferias” en sus </w:t>
      </w:r>
      <w:r w:rsidR="004371ED">
        <w:rPr>
          <w:rFonts w:ascii="Arial" w:hAnsi="Arial" w:cs="Arial"/>
          <w:color w:val="222222"/>
          <w:shd w:val="clear" w:color="auto" w:fill="FFFFFF"/>
        </w:rPr>
        <w:t xml:space="preserve">propias </w:t>
      </w:r>
      <w:r w:rsidR="002D67B5" w:rsidRPr="00E064B5">
        <w:rPr>
          <w:rFonts w:ascii="Arial" w:hAnsi="Arial" w:cs="Arial"/>
          <w:color w:val="222222"/>
          <w:shd w:val="clear" w:color="auto" w:fill="FFFFFF"/>
        </w:rPr>
        <w:t>estructuras productivas</w:t>
      </w:r>
      <w:r w:rsidR="004371ED">
        <w:rPr>
          <w:rFonts w:ascii="Arial" w:hAnsi="Arial" w:cs="Arial"/>
          <w:color w:val="222222"/>
          <w:shd w:val="clear" w:color="auto" w:fill="FFFFFF"/>
        </w:rPr>
        <w:t xml:space="preserve"> internas</w:t>
      </w:r>
      <w:r w:rsidR="002D67B5" w:rsidRPr="00E064B5">
        <w:rPr>
          <w:rFonts w:ascii="Arial" w:hAnsi="Arial" w:cs="Arial"/>
          <w:color w:val="222222"/>
          <w:shd w:val="clear" w:color="auto" w:fill="FFFFFF"/>
        </w:rPr>
        <w:t>.</w:t>
      </w:r>
      <w:r w:rsidR="002D67B5" w:rsidRPr="00E064B5">
        <w:rPr>
          <w:rFonts w:ascii="Arial" w:hAnsi="Arial" w:cs="Arial"/>
        </w:rPr>
        <w:t xml:space="preserve"> </w:t>
      </w:r>
      <w:r w:rsidR="002D67B5">
        <w:rPr>
          <w:rFonts w:ascii="Arial" w:hAnsi="Arial" w:cs="Arial"/>
        </w:rPr>
        <w:t xml:space="preserve">En este sentido, la región requiere de una cooperación diferente para escapar de lo que un autor ha llamado como </w:t>
      </w:r>
      <w:r w:rsidR="002D67B5" w:rsidRPr="009651E9">
        <w:rPr>
          <w:rFonts w:ascii="Arial" w:hAnsi="Arial" w:cs="Arial"/>
        </w:rPr>
        <w:t xml:space="preserve">la “trampa del progreso” </w:t>
      </w:r>
      <w:r w:rsidR="002D67B5">
        <w:rPr>
          <w:rFonts w:ascii="Arial" w:hAnsi="Arial" w:cs="Arial"/>
        </w:rPr>
        <w:t>(</w:t>
      </w:r>
      <w:r w:rsidR="002D67B5" w:rsidRPr="009651E9">
        <w:rPr>
          <w:rFonts w:ascii="Arial" w:hAnsi="Arial" w:cs="Arial"/>
        </w:rPr>
        <w:t>Alonso</w:t>
      </w:r>
      <w:r w:rsidR="002D67B5">
        <w:rPr>
          <w:rFonts w:ascii="Arial" w:hAnsi="Arial" w:cs="Arial"/>
        </w:rPr>
        <w:t xml:space="preserve">, </w:t>
      </w:r>
      <w:r w:rsidR="002D67B5" w:rsidRPr="009651E9">
        <w:rPr>
          <w:rFonts w:ascii="Arial" w:hAnsi="Arial" w:cs="Arial"/>
        </w:rPr>
        <w:t>2006)</w:t>
      </w:r>
      <w:r w:rsidR="002D67B5">
        <w:rPr>
          <w:rFonts w:ascii="Arial" w:hAnsi="Arial" w:cs="Arial"/>
        </w:rPr>
        <w:t xml:space="preserve">. </w:t>
      </w:r>
      <w:r w:rsidR="002D67B5" w:rsidRPr="00E064B5">
        <w:rPr>
          <w:rFonts w:ascii="Arial" w:hAnsi="Arial" w:cs="Arial"/>
        </w:rPr>
        <w:t>Al mismo tiempo</w:t>
      </w:r>
      <w:r w:rsidR="002D67B5">
        <w:rPr>
          <w:rFonts w:ascii="Arial" w:hAnsi="Arial" w:cs="Arial"/>
        </w:rPr>
        <w:t xml:space="preserve">, </w:t>
      </w:r>
      <w:r w:rsidR="002D67B5" w:rsidRPr="00E064B5">
        <w:rPr>
          <w:rFonts w:ascii="Arial" w:hAnsi="Arial" w:cs="Arial"/>
        </w:rPr>
        <w:t xml:space="preserve">dada la nueva realidad de </w:t>
      </w:r>
      <w:r w:rsidR="002D67B5">
        <w:rPr>
          <w:rFonts w:ascii="Arial" w:hAnsi="Arial" w:cs="Arial"/>
        </w:rPr>
        <w:t xml:space="preserve">los países latinoamericanos </w:t>
      </w:r>
      <w:r w:rsidR="002D67B5" w:rsidRPr="00E064B5">
        <w:rPr>
          <w:rFonts w:ascii="Arial" w:hAnsi="Arial" w:cs="Arial"/>
        </w:rPr>
        <w:t>por su papel dual de donantes y receptores</w:t>
      </w:r>
      <w:r w:rsidR="002D67B5">
        <w:rPr>
          <w:rFonts w:ascii="Arial" w:hAnsi="Arial" w:cs="Arial"/>
        </w:rPr>
        <w:t xml:space="preserve"> en la cooperación internacional</w:t>
      </w:r>
      <w:r w:rsidR="002D67B5" w:rsidRPr="00E064B5">
        <w:rPr>
          <w:rFonts w:ascii="Arial" w:hAnsi="Arial" w:cs="Arial"/>
        </w:rPr>
        <w:t>,</w:t>
      </w:r>
      <w:r w:rsidR="002D67B5">
        <w:rPr>
          <w:rFonts w:ascii="Arial" w:hAnsi="Arial" w:cs="Arial"/>
        </w:rPr>
        <w:t xml:space="preserve"> éstos</w:t>
      </w:r>
      <w:r w:rsidR="002D67B5" w:rsidRPr="00E064B5">
        <w:rPr>
          <w:rFonts w:ascii="Arial" w:hAnsi="Arial" w:cs="Arial"/>
        </w:rPr>
        <w:t xml:space="preserve"> han tenido que replantear su </w:t>
      </w:r>
      <w:r w:rsidR="004371ED">
        <w:rPr>
          <w:rFonts w:ascii="Arial" w:hAnsi="Arial" w:cs="Arial"/>
        </w:rPr>
        <w:t>rol</w:t>
      </w:r>
      <w:r w:rsidR="002D67B5">
        <w:rPr>
          <w:rFonts w:ascii="Arial" w:hAnsi="Arial" w:cs="Arial"/>
        </w:rPr>
        <w:t xml:space="preserve"> en el sistema internacional </w:t>
      </w:r>
      <w:r w:rsidR="002D67B5" w:rsidRPr="00E064B5">
        <w:rPr>
          <w:rFonts w:ascii="Arial" w:hAnsi="Arial" w:cs="Arial"/>
        </w:rPr>
        <w:t xml:space="preserve">y redefinir su participación dentro del actual esquema de cooperación al desarrollo, dando así </w:t>
      </w:r>
      <w:r w:rsidR="002D67B5">
        <w:rPr>
          <w:rFonts w:ascii="Arial" w:hAnsi="Arial" w:cs="Arial"/>
        </w:rPr>
        <w:t xml:space="preserve">mayor </w:t>
      </w:r>
      <w:r w:rsidR="002D67B5" w:rsidRPr="00E064B5">
        <w:rPr>
          <w:rFonts w:ascii="Arial" w:hAnsi="Arial" w:cs="Arial"/>
        </w:rPr>
        <w:t xml:space="preserve">impulso a </w:t>
      </w:r>
      <w:r w:rsidR="002D67B5">
        <w:rPr>
          <w:rFonts w:ascii="Arial" w:hAnsi="Arial" w:cs="Arial"/>
        </w:rPr>
        <w:t xml:space="preserve">las </w:t>
      </w:r>
      <w:r w:rsidR="002D67B5" w:rsidRPr="00E064B5">
        <w:rPr>
          <w:rFonts w:ascii="Arial" w:hAnsi="Arial" w:cs="Arial"/>
        </w:rPr>
        <w:t>políticas de cooperación Sur-Sur y triangular.</w:t>
      </w:r>
    </w:p>
    <w:p w14:paraId="6496D6DB" w14:textId="40BF7B63" w:rsidR="00676417" w:rsidRPr="00BC1EF8" w:rsidRDefault="002D67B5" w:rsidP="00CC010C">
      <w:pPr>
        <w:jc w:val="both"/>
        <w:rPr>
          <w:rFonts w:ascii="Arial" w:eastAsia="Times New Roman" w:hAnsi="Arial" w:cs="Arial"/>
          <w:lang w:val="es-MX"/>
        </w:rPr>
      </w:pPr>
      <w:r>
        <w:rPr>
          <w:rFonts w:ascii="Arial" w:eastAsia="Times New Roman" w:hAnsi="Arial" w:cs="Arial"/>
          <w:lang w:val="es-MX"/>
        </w:rPr>
        <w:t>Entonces, p</w:t>
      </w:r>
      <w:r w:rsidR="00AA06A3" w:rsidRPr="00201D7E">
        <w:rPr>
          <w:rFonts w:ascii="Arial" w:eastAsia="Times New Roman" w:hAnsi="Arial" w:cs="Arial"/>
          <w:lang w:val="es-MX"/>
        </w:rPr>
        <w:t xml:space="preserve">ara que los </w:t>
      </w:r>
      <w:r w:rsidR="005207EE">
        <w:rPr>
          <w:rFonts w:ascii="Arial" w:eastAsia="Times New Roman" w:hAnsi="Arial" w:cs="Arial"/>
          <w:lang w:val="es-MX"/>
        </w:rPr>
        <w:t>E</w:t>
      </w:r>
      <w:r w:rsidR="00AA06A3" w:rsidRPr="00AD204C">
        <w:rPr>
          <w:rFonts w:ascii="Arial" w:eastAsia="Times New Roman" w:hAnsi="Arial" w:cs="Arial"/>
          <w:lang w:val="es-MX"/>
        </w:rPr>
        <w:t>stados puedan aprovechar estas oportunidades</w:t>
      </w:r>
      <w:r w:rsidR="005F45F4">
        <w:rPr>
          <w:rFonts w:ascii="Arial" w:eastAsia="Times New Roman" w:hAnsi="Arial" w:cs="Arial"/>
          <w:lang w:val="es-MX"/>
        </w:rPr>
        <w:t xml:space="preserve"> de colaboración</w:t>
      </w:r>
      <w:r w:rsidR="00AA06A3" w:rsidRPr="00AD204C">
        <w:rPr>
          <w:rFonts w:ascii="Arial" w:eastAsia="Times New Roman" w:hAnsi="Arial" w:cs="Arial"/>
          <w:lang w:val="es-MX"/>
        </w:rPr>
        <w:t xml:space="preserve">, </w:t>
      </w:r>
      <w:r w:rsidR="00676417" w:rsidRPr="00AD204C">
        <w:rPr>
          <w:rFonts w:ascii="Arial" w:eastAsia="Times New Roman" w:hAnsi="Arial" w:cs="Arial"/>
          <w:lang w:val="es-MX"/>
        </w:rPr>
        <w:t>las políticas públicas prev</w:t>
      </w:r>
      <w:r w:rsidR="00AA06A3" w:rsidRPr="00AD204C">
        <w:rPr>
          <w:rFonts w:ascii="Arial" w:eastAsia="Times New Roman" w:hAnsi="Arial" w:cs="Arial"/>
          <w:lang w:val="es-MX"/>
        </w:rPr>
        <w:t>én</w:t>
      </w:r>
      <w:r w:rsidR="00676417" w:rsidRPr="00AD204C">
        <w:rPr>
          <w:rFonts w:ascii="Arial" w:eastAsia="Times New Roman" w:hAnsi="Arial" w:cs="Arial"/>
          <w:lang w:val="es-MX"/>
        </w:rPr>
        <w:t xml:space="preserve"> diversas herramientas </w:t>
      </w:r>
      <w:r w:rsidR="00AA06A3" w:rsidRPr="00AD204C">
        <w:rPr>
          <w:rFonts w:ascii="Arial" w:eastAsia="Times New Roman" w:hAnsi="Arial" w:cs="Arial"/>
          <w:lang w:val="es-MX"/>
        </w:rPr>
        <w:t>que facilit</w:t>
      </w:r>
      <w:r w:rsidR="005F45F4">
        <w:rPr>
          <w:rFonts w:ascii="Arial" w:eastAsia="Times New Roman" w:hAnsi="Arial" w:cs="Arial"/>
          <w:lang w:val="es-MX"/>
        </w:rPr>
        <w:t>a</w:t>
      </w:r>
      <w:r w:rsidR="00AA06A3" w:rsidRPr="00AD204C">
        <w:rPr>
          <w:rFonts w:ascii="Arial" w:eastAsia="Times New Roman" w:hAnsi="Arial" w:cs="Arial"/>
          <w:lang w:val="es-MX"/>
        </w:rPr>
        <w:t>n</w:t>
      </w:r>
      <w:r w:rsidR="00676417" w:rsidRPr="00AD204C">
        <w:rPr>
          <w:rFonts w:ascii="Arial" w:eastAsia="Times New Roman" w:hAnsi="Arial" w:cs="Arial"/>
          <w:lang w:val="es-MX"/>
        </w:rPr>
        <w:t xml:space="preserve"> la actuación coordinada de </w:t>
      </w:r>
      <w:r w:rsidR="005207EE">
        <w:rPr>
          <w:rFonts w:ascii="Arial" w:eastAsia="Times New Roman" w:hAnsi="Arial" w:cs="Arial"/>
          <w:lang w:val="es-MX"/>
        </w:rPr>
        <w:t>diferentes</w:t>
      </w:r>
      <w:r w:rsidR="00676417" w:rsidRPr="00AD204C">
        <w:rPr>
          <w:rFonts w:ascii="Arial" w:eastAsia="Times New Roman" w:hAnsi="Arial" w:cs="Arial"/>
          <w:lang w:val="es-MX"/>
        </w:rPr>
        <w:t xml:space="preserve"> instancias que participan del campo de las políticas de desarrollo social. La generación de </w:t>
      </w:r>
      <w:r w:rsidR="00412C9D" w:rsidRPr="00AD204C">
        <w:rPr>
          <w:rFonts w:ascii="Arial" w:eastAsia="Times New Roman" w:hAnsi="Arial" w:cs="Arial"/>
          <w:lang w:val="es-MX"/>
        </w:rPr>
        <w:t>p</w:t>
      </w:r>
      <w:r w:rsidR="00676417" w:rsidRPr="00AD204C">
        <w:rPr>
          <w:rFonts w:ascii="Arial" w:eastAsia="Times New Roman" w:hAnsi="Arial" w:cs="Arial"/>
          <w:lang w:val="es-MX"/>
        </w:rPr>
        <w:t xml:space="preserve">actos, </w:t>
      </w:r>
      <w:r w:rsidR="00412C9D" w:rsidRPr="00AD204C">
        <w:rPr>
          <w:rFonts w:ascii="Arial" w:eastAsia="Times New Roman" w:hAnsi="Arial" w:cs="Arial"/>
          <w:lang w:val="es-MX"/>
        </w:rPr>
        <w:t>c</w:t>
      </w:r>
      <w:r w:rsidR="00676417" w:rsidRPr="00AD204C">
        <w:rPr>
          <w:rFonts w:ascii="Arial" w:eastAsia="Times New Roman" w:hAnsi="Arial" w:cs="Arial"/>
          <w:lang w:val="es-MX"/>
        </w:rPr>
        <w:t xml:space="preserve">onvenios, </w:t>
      </w:r>
      <w:r w:rsidR="00412C9D" w:rsidRPr="00AD204C">
        <w:rPr>
          <w:rFonts w:ascii="Arial" w:eastAsia="Times New Roman" w:hAnsi="Arial" w:cs="Arial"/>
          <w:lang w:val="es-MX"/>
        </w:rPr>
        <w:t>p</w:t>
      </w:r>
      <w:r w:rsidR="00676417" w:rsidRPr="00AD204C">
        <w:rPr>
          <w:rFonts w:ascii="Arial" w:eastAsia="Times New Roman" w:hAnsi="Arial" w:cs="Arial"/>
          <w:lang w:val="es-MX"/>
        </w:rPr>
        <w:t>lanes</w:t>
      </w:r>
      <w:r w:rsidR="00412C9D" w:rsidRPr="00AD204C">
        <w:rPr>
          <w:rFonts w:ascii="Arial" w:eastAsia="Times New Roman" w:hAnsi="Arial" w:cs="Arial"/>
          <w:lang w:val="es-MX"/>
        </w:rPr>
        <w:t xml:space="preserve"> y objetivos </w:t>
      </w:r>
      <w:r w:rsidR="00676417" w:rsidRPr="00AD204C">
        <w:rPr>
          <w:rFonts w:ascii="Arial" w:eastAsia="Times New Roman" w:hAnsi="Arial" w:cs="Arial"/>
          <w:lang w:val="es-MX"/>
        </w:rPr>
        <w:t xml:space="preserve">consensuados, </w:t>
      </w:r>
      <w:r w:rsidR="00412C9D" w:rsidRPr="00AD204C">
        <w:rPr>
          <w:rFonts w:ascii="Arial" w:eastAsia="Times New Roman" w:hAnsi="Arial" w:cs="Arial"/>
          <w:lang w:val="es-MX"/>
        </w:rPr>
        <w:t>entre otros,</w:t>
      </w:r>
      <w:r w:rsidR="00676417" w:rsidRPr="00AD204C">
        <w:rPr>
          <w:rFonts w:ascii="Arial" w:eastAsia="Times New Roman" w:hAnsi="Arial" w:cs="Arial"/>
          <w:lang w:val="es-MX"/>
        </w:rPr>
        <w:t xml:space="preserve"> son algunos de los instrumentos técnicos a disposición. C</w:t>
      </w:r>
      <w:r w:rsidR="005F45F4">
        <w:rPr>
          <w:rFonts w:ascii="Arial" w:eastAsia="Times New Roman" w:hAnsi="Arial" w:cs="Arial"/>
          <w:lang w:val="es-MX"/>
        </w:rPr>
        <w:t>o</w:t>
      </w:r>
      <w:r w:rsidR="00676417" w:rsidRPr="00AD204C">
        <w:rPr>
          <w:rFonts w:ascii="Arial" w:eastAsia="Times New Roman" w:hAnsi="Arial" w:cs="Arial"/>
          <w:lang w:val="es-MX"/>
        </w:rPr>
        <w:t>mo ha sido bien destacado por una extensa bibliografía, esos instrumentos requiere</w:t>
      </w:r>
      <w:r w:rsidR="005F45F4">
        <w:rPr>
          <w:rFonts w:ascii="Arial" w:eastAsia="Times New Roman" w:hAnsi="Arial" w:cs="Arial"/>
          <w:lang w:val="es-MX"/>
        </w:rPr>
        <w:t>n</w:t>
      </w:r>
      <w:r w:rsidR="00676417" w:rsidRPr="00AD204C">
        <w:rPr>
          <w:rFonts w:ascii="Arial" w:eastAsia="Times New Roman" w:hAnsi="Arial" w:cs="Arial"/>
          <w:lang w:val="es-MX"/>
        </w:rPr>
        <w:t xml:space="preserve"> de una institucionalidad apropiada, sobre la cual </w:t>
      </w:r>
      <w:r>
        <w:rPr>
          <w:rFonts w:ascii="Arial" w:eastAsia="Times New Roman" w:hAnsi="Arial" w:cs="Arial"/>
          <w:lang w:val="es-MX"/>
        </w:rPr>
        <w:t>fundar</w:t>
      </w:r>
      <w:r w:rsidRPr="00CC010C">
        <w:rPr>
          <w:rFonts w:ascii="Arial" w:eastAsia="Times New Roman" w:hAnsi="Arial" w:cs="Arial"/>
          <w:lang w:val="es-MX"/>
        </w:rPr>
        <w:t xml:space="preserve"> </w:t>
      </w:r>
      <w:r w:rsidR="00676417" w:rsidRPr="00CC010C">
        <w:rPr>
          <w:rFonts w:ascii="Arial" w:eastAsia="Times New Roman" w:hAnsi="Arial" w:cs="Arial"/>
          <w:lang w:val="es-MX"/>
        </w:rPr>
        <w:t>los procesos de generación de consensos, distribución de tareas en la implementación operativa, financiamiento compartido y rendición de cuentas colectiva</w:t>
      </w:r>
      <w:r w:rsidR="00412C9D" w:rsidRPr="00BC1EF8">
        <w:rPr>
          <w:rFonts w:ascii="Arial" w:eastAsia="Times New Roman" w:hAnsi="Arial" w:cs="Arial"/>
          <w:lang w:val="es-MX"/>
        </w:rPr>
        <w:t xml:space="preserve"> (Cunnill-Grau </w:t>
      </w:r>
      <w:r w:rsidR="00412C9D" w:rsidRPr="00E064B5">
        <w:rPr>
          <w:rFonts w:ascii="Arial" w:eastAsia="Times New Roman" w:hAnsi="Arial" w:cs="Arial"/>
          <w:i/>
          <w:lang w:val="es-MX"/>
        </w:rPr>
        <w:t>et al</w:t>
      </w:r>
      <w:r w:rsidR="00026B77">
        <w:rPr>
          <w:rFonts w:ascii="Arial" w:eastAsia="Times New Roman" w:hAnsi="Arial" w:cs="Arial"/>
          <w:i/>
          <w:lang w:val="es-MX"/>
        </w:rPr>
        <w:t>.</w:t>
      </w:r>
      <w:r w:rsidR="00412C9D" w:rsidRPr="00BC1EF8">
        <w:rPr>
          <w:rFonts w:ascii="Arial" w:eastAsia="Times New Roman" w:hAnsi="Arial" w:cs="Arial"/>
          <w:lang w:val="es-MX"/>
        </w:rPr>
        <w:t xml:space="preserve">, 2015 y Maldonado Valera, 2015). </w:t>
      </w:r>
    </w:p>
    <w:p w14:paraId="0DFA1B8E" w14:textId="70792FB9" w:rsidR="005E4B8A" w:rsidRDefault="00AA06A3" w:rsidP="00BC1EF8">
      <w:pPr>
        <w:jc w:val="both"/>
        <w:rPr>
          <w:rFonts w:ascii="Arial" w:eastAsia="Times New Roman" w:hAnsi="Arial" w:cs="Arial"/>
          <w:lang w:val="es-MX"/>
        </w:rPr>
      </w:pPr>
      <w:r w:rsidRPr="00BC1EF8">
        <w:rPr>
          <w:rFonts w:ascii="Arial" w:eastAsia="Times New Roman" w:hAnsi="Arial" w:cs="Arial"/>
          <w:lang w:val="es-MX"/>
        </w:rPr>
        <w:t>En síntesis, f</w:t>
      </w:r>
      <w:r w:rsidR="00F034CE" w:rsidRPr="005207EE">
        <w:rPr>
          <w:rFonts w:ascii="Arial" w:eastAsia="Times New Roman" w:hAnsi="Arial" w:cs="Arial"/>
          <w:lang w:val="es-MX"/>
        </w:rPr>
        <w:t xml:space="preserve">rente a estos desafíos globales </w:t>
      </w:r>
      <w:r w:rsidR="005F45F4">
        <w:rPr>
          <w:rFonts w:ascii="Arial" w:eastAsia="Times New Roman" w:hAnsi="Arial" w:cs="Arial"/>
          <w:lang w:val="es-MX"/>
        </w:rPr>
        <w:t>de</w:t>
      </w:r>
      <w:r w:rsidR="00F034CE" w:rsidRPr="005207EE">
        <w:rPr>
          <w:rFonts w:ascii="Arial" w:eastAsia="Times New Roman" w:hAnsi="Arial" w:cs="Arial"/>
          <w:lang w:val="es-MX"/>
        </w:rPr>
        <w:t>l desarrollo</w:t>
      </w:r>
      <w:r w:rsidR="005F45F4">
        <w:rPr>
          <w:rFonts w:ascii="Arial" w:eastAsia="Times New Roman" w:hAnsi="Arial" w:cs="Arial"/>
          <w:lang w:val="es-MX"/>
        </w:rPr>
        <w:t xml:space="preserve"> y la reconfiguración de la cooperación en el sistema internacional y en América Latina, </w:t>
      </w:r>
      <w:r w:rsidR="00F034CE" w:rsidRPr="005207EE">
        <w:rPr>
          <w:rFonts w:ascii="Arial" w:eastAsia="Times New Roman" w:hAnsi="Arial" w:cs="Arial"/>
          <w:lang w:val="es-MX"/>
        </w:rPr>
        <w:t xml:space="preserve">es importante reafirmar el </w:t>
      </w:r>
      <w:r w:rsidR="00F034CE" w:rsidRPr="005207EE">
        <w:rPr>
          <w:rFonts w:ascii="Arial" w:eastAsia="Times New Roman" w:hAnsi="Arial" w:cs="Arial"/>
          <w:lang w:val="es-MX"/>
        </w:rPr>
        <w:lastRenderedPageBreak/>
        <w:t xml:space="preserve">valor que tienen experimentos de integración regional como el </w:t>
      </w:r>
      <w:r w:rsidR="001526EB">
        <w:rPr>
          <w:rFonts w:ascii="Arial" w:eastAsia="Times New Roman" w:hAnsi="Arial" w:cs="Arial"/>
          <w:lang w:val="es-MX"/>
        </w:rPr>
        <w:t>MERCOSUR</w:t>
      </w:r>
      <w:r w:rsidR="00F034CE" w:rsidRPr="005207EE">
        <w:rPr>
          <w:rFonts w:ascii="Arial" w:eastAsia="Times New Roman" w:hAnsi="Arial" w:cs="Arial"/>
          <w:lang w:val="es-MX"/>
        </w:rPr>
        <w:t xml:space="preserve">. Este espacio de integración de países </w:t>
      </w:r>
      <w:r w:rsidR="005F45F4">
        <w:rPr>
          <w:rFonts w:ascii="Arial" w:eastAsia="Times New Roman" w:hAnsi="Arial" w:cs="Arial"/>
          <w:lang w:val="es-MX"/>
        </w:rPr>
        <w:t xml:space="preserve">de renta media </w:t>
      </w:r>
      <w:r w:rsidR="00F034CE" w:rsidRPr="005207EE">
        <w:rPr>
          <w:rFonts w:ascii="Arial" w:eastAsia="Times New Roman" w:hAnsi="Arial" w:cs="Arial"/>
          <w:lang w:val="es-MX"/>
        </w:rPr>
        <w:t>cuenta con instituciones e instrumentos técnico</w:t>
      </w:r>
      <w:r w:rsidRPr="00764242">
        <w:rPr>
          <w:rFonts w:ascii="Arial" w:eastAsia="Times New Roman" w:hAnsi="Arial" w:cs="Arial"/>
          <w:lang w:val="es-MX"/>
        </w:rPr>
        <w:t>s</w:t>
      </w:r>
      <w:r w:rsidR="00F034CE" w:rsidRPr="00E6008D">
        <w:rPr>
          <w:rFonts w:ascii="Arial" w:eastAsia="Times New Roman" w:hAnsi="Arial" w:cs="Arial"/>
          <w:lang w:val="es-MX"/>
        </w:rPr>
        <w:t>, que pueden ser movilizados para promover acci</w:t>
      </w:r>
      <w:r w:rsidR="00F034CE" w:rsidRPr="00577500">
        <w:rPr>
          <w:rFonts w:ascii="Arial" w:eastAsia="Times New Roman" w:hAnsi="Arial" w:cs="Arial"/>
          <w:lang w:val="es-MX"/>
        </w:rPr>
        <w:t xml:space="preserve">ones y respuestas coordinadas frente a los problemas globales. </w:t>
      </w:r>
      <w:r w:rsidRPr="00F0232B">
        <w:rPr>
          <w:rFonts w:ascii="Arial" w:eastAsia="Times New Roman" w:hAnsi="Arial" w:cs="Arial"/>
          <w:lang w:val="es-MX"/>
        </w:rPr>
        <w:t xml:space="preserve">Resulta fundamental aprovechar y </w:t>
      </w:r>
      <w:r w:rsidR="00F034CE" w:rsidRPr="00201D7E">
        <w:rPr>
          <w:rFonts w:ascii="Arial" w:eastAsia="Times New Roman" w:hAnsi="Arial" w:cs="Arial"/>
          <w:lang w:val="es-MX"/>
        </w:rPr>
        <w:t xml:space="preserve">poner en valor estas instituciones regionales, </w:t>
      </w:r>
      <w:r w:rsidRPr="00201D7E">
        <w:rPr>
          <w:rFonts w:ascii="Arial" w:eastAsia="Times New Roman" w:hAnsi="Arial" w:cs="Arial"/>
          <w:lang w:val="es-MX"/>
        </w:rPr>
        <w:t xml:space="preserve">que fueron </w:t>
      </w:r>
      <w:r w:rsidR="00F034CE" w:rsidRPr="00201D7E">
        <w:rPr>
          <w:rFonts w:ascii="Arial" w:eastAsia="Times New Roman" w:hAnsi="Arial" w:cs="Arial"/>
          <w:lang w:val="es-MX"/>
        </w:rPr>
        <w:t xml:space="preserve">construidas trabajosamente durante más de veinticinco años </w:t>
      </w:r>
      <w:r w:rsidR="00C978B2" w:rsidRPr="00201D7E">
        <w:rPr>
          <w:rFonts w:ascii="Arial" w:eastAsia="Times New Roman" w:hAnsi="Arial" w:cs="Arial"/>
          <w:lang w:val="es-MX"/>
        </w:rPr>
        <w:t xml:space="preserve">de vida </w:t>
      </w:r>
      <w:r w:rsidR="00F034CE" w:rsidRPr="00201D7E">
        <w:rPr>
          <w:rFonts w:ascii="Arial" w:eastAsia="Times New Roman" w:hAnsi="Arial" w:cs="Arial"/>
          <w:lang w:val="es-MX"/>
        </w:rPr>
        <w:t xml:space="preserve">del </w:t>
      </w:r>
      <w:r w:rsidR="001526EB">
        <w:rPr>
          <w:rFonts w:ascii="Arial" w:eastAsia="Times New Roman" w:hAnsi="Arial" w:cs="Arial"/>
          <w:lang w:val="es-MX"/>
        </w:rPr>
        <w:t>MERCOSUR</w:t>
      </w:r>
      <w:r w:rsidR="005E4B8A">
        <w:rPr>
          <w:rFonts w:ascii="Arial" w:eastAsia="Times New Roman" w:hAnsi="Arial" w:cs="Arial"/>
          <w:lang w:val="es-MX"/>
        </w:rPr>
        <w:t xml:space="preserve"> y que brindar un espacio fundamental para la articulación de estrategias de </w:t>
      </w:r>
      <w:r w:rsidR="005B2BF2">
        <w:rPr>
          <w:rFonts w:ascii="Arial" w:eastAsia="Times New Roman" w:hAnsi="Arial" w:cs="Arial"/>
          <w:lang w:val="es-MX"/>
        </w:rPr>
        <w:t>c</w:t>
      </w:r>
      <w:r w:rsidR="005E4B8A">
        <w:rPr>
          <w:rFonts w:ascii="Arial" w:eastAsia="Times New Roman" w:hAnsi="Arial" w:cs="Arial"/>
          <w:lang w:val="es-MX"/>
        </w:rPr>
        <w:t>ooperación Sur-Sur</w:t>
      </w:r>
      <w:r w:rsidR="00F034CE" w:rsidRPr="00201D7E">
        <w:rPr>
          <w:rFonts w:ascii="Arial" w:eastAsia="Times New Roman" w:hAnsi="Arial" w:cs="Arial"/>
          <w:lang w:val="es-MX"/>
        </w:rPr>
        <w:t>.</w:t>
      </w:r>
    </w:p>
    <w:p w14:paraId="09BD72EB" w14:textId="2B5F9C40" w:rsidR="00F034CE" w:rsidRPr="00201D7E" w:rsidRDefault="00F034CE" w:rsidP="00BC1EF8">
      <w:pPr>
        <w:jc w:val="both"/>
        <w:rPr>
          <w:rFonts w:ascii="Arial" w:eastAsia="Times New Roman" w:hAnsi="Arial" w:cs="Arial"/>
          <w:lang w:val="es-MX"/>
        </w:rPr>
      </w:pPr>
      <w:r w:rsidRPr="00201D7E">
        <w:rPr>
          <w:rFonts w:ascii="Arial" w:eastAsia="Times New Roman" w:hAnsi="Arial" w:cs="Arial"/>
          <w:lang w:val="es-MX"/>
        </w:rPr>
        <w:t xml:space="preserve"> </w:t>
      </w:r>
    </w:p>
    <w:p w14:paraId="4B25C458" w14:textId="7E0B8AC9" w:rsidR="00267F21" w:rsidRPr="00201D7E" w:rsidRDefault="0042743A" w:rsidP="00BC1EF8">
      <w:pPr>
        <w:jc w:val="both"/>
        <w:rPr>
          <w:rFonts w:ascii="Arial" w:eastAsia="Times New Roman" w:hAnsi="Arial" w:cs="Arial"/>
          <w:b/>
          <w:lang w:val="es-MX"/>
        </w:rPr>
      </w:pPr>
      <w:r w:rsidRPr="00201D7E">
        <w:rPr>
          <w:rFonts w:ascii="Arial" w:eastAsia="Times New Roman" w:hAnsi="Arial" w:cs="Arial"/>
          <w:b/>
          <w:lang w:val="es-MX"/>
        </w:rPr>
        <w:t>2</w:t>
      </w:r>
      <w:r w:rsidR="000D3890" w:rsidRPr="00201D7E">
        <w:rPr>
          <w:rFonts w:ascii="Arial" w:eastAsia="Times New Roman" w:hAnsi="Arial" w:cs="Arial"/>
          <w:b/>
          <w:lang w:val="es-MX"/>
        </w:rPr>
        <w:t xml:space="preserve">.- </w:t>
      </w:r>
      <w:r w:rsidR="00267F21" w:rsidRPr="00201D7E">
        <w:rPr>
          <w:rFonts w:ascii="Arial" w:eastAsia="Times New Roman" w:hAnsi="Arial" w:cs="Arial"/>
          <w:b/>
          <w:lang w:val="es-MX"/>
        </w:rPr>
        <w:t xml:space="preserve">El </w:t>
      </w:r>
      <w:r w:rsidR="001526EB">
        <w:rPr>
          <w:rFonts w:ascii="Arial" w:eastAsia="Times New Roman" w:hAnsi="Arial" w:cs="Arial"/>
          <w:b/>
          <w:lang w:val="es-MX"/>
        </w:rPr>
        <w:t>MERCOSUR</w:t>
      </w:r>
      <w:r w:rsidR="00267F21" w:rsidRPr="00201D7E">
        <w:rPr>
          <w:rFonts w:ascii="Arial" w:eastAsia="Times New Roman" w:hAnsi="Arial" w:cs="Arial"/>
          <w:b/>
          <w:lang w:val="es-MX"/>
        </w:rPr>
        <w:t xml:space="preserve"> como estrategia de desarrollo regional</w:t>
      </w:r>
    </w:p>
    <w:p w14:paraId="02EA3CD6" w14:textId="79D1CBF0" w:rsidR="008B719A" w:rsidRPr="00201D7E" w:rsidRDefault="008B719A" w:rsidP="00764242">
      <w:pPr>
        <w:jc w:val="both"/>
        <w:rPr>
          <w:rFonts w:ascii="Arial" w:eastAsia="Times New Roman" w:hAnsi="Arial" w:cs="Arial"/>
          <w:lang w:val="es-MX"/>
        </w:rPr>
      </w:pPr>
      <w:r w:rsidRPr="00201D7E">
        <w:rPr>
          <w:rFonts w:ascii="Arial" w:eastAsia="Times New Roman" w:hAnsi="Arial" w:cs="Arial"/>
          <w:lang w:val="es-MX"/>
        </w:rPr>
        <w:t>E</w:t>
      </w:r>
      <w:r w:rsidR="00AA06A3" w:rsidRPr="00201D7E">
        <w:rPr>
          <w:rFonts w:ascii="Arial" w:eastAsia="Times New Roman" w:hAnsi="Arial" w:cs="Arial"/>
          <w:lang w:val="es-MX"/>
        </w:rPr>
        <w:t>n su origen, e</w:t>
      </w:r>
      <w:r w:rsidRPr="00201D7E">
        <w:rPr>
          <w:rFonts w:ascii="Arial" w:eastAsia="Times New Roman" w:hAnsi="Arial" w:cs="Arial"/>
          <w:lang w:val="es-MX"/>
        </w:rPr>
        <w:t xml:space="preserve">l </w:t>
      </w:r>
      <w:r w:rsidR="001526EB">
        <w:rPr>
          <w:rFonts w:ascii="Arial" w:eastAsia="Times New Roman" w:hAnsi="Arial" w:cs="Arial"/>
          <w:lang w:val="es-MX"/>
        </w:rPr>
        <w:t>MERCOSUR</w:t>
      </w:r>
      <w:r w:rsidRPr="00201D7E">
        <w:rPr>
          <w:rFonts w:ascii="Arial" w:eastAsia="Times New Roman" w:hAnsi="Arial" w:cs="Arial"/>
          <w:lang w:val="es-MX"/>
        </w:rPr>
        <w:t xml:space="preserve"> surge como una estrategia </w:t>
      </w:r>
      <w:r w:rsidR="006C4E31" w:rsidRPr="00201D7E">
        <w:rPr>
          <w:rFonts w:ascii="Arial" w:eastAsia="Times New Roman" w:hAnsi="Arial" w:cs="Arial"/>
          <w:lang w:val="es-MX"/>
        </w:rPr>
        <w:t xml:space="preserve">para </w:t>
      </w:r>
      <w:r w:rsidRPr="00201D7E">
        <w:rPr>
          <w:rFonts w:ascii="Arial" w:eastAsia="Times New Roman" w:hAnsi="Arial" w:cs="Arial"/>
          <w:lang w:val="es-MX"/>
        </w:rPr>
        <w:t xml:space="preserve">la promoción del desarrollo </w:t>
      </w:r>
      <w:r w:rsidR="006C4E31" w:rsidRPr="00201D7E">
        <w:rPr>
          <w:rFonts w:ascii="Arial" w:eastAsia="Times New Roman" w:hAnsi="Arial" w:cs="Arial"/>
          <w:lang w:val="es-MX"/>
        </w:rPr>
        <w:t>a partir de un</w:t>
      </w:r>
      <w:r w:rsidRPr="00201D7E">
        <w:rPr>
          <w:rFonts w:ascii="Arial" w:eastAsia="Times New Roman" w:hAnsi="Arial" w:cs="Arial"/>
          <w:lang w:val="es-MX"/>
        </w:rPr>
        <w:t xml:space="preserve"> proyecto de integración regional. </w:t>
      </w:r>
      <w:r w:rsidR="006C4E31" w:rsidRPr="00201D7E">
        <w:rPr>
          <w:rFonts w:ascii="Arial" w:eastAsia="Times New Roman" w:hAnsi="Arial" w:cs="Arial"/>
          <w:lang w:val="es-MX"/>
        </w:rPr>
        <w:t>Mediante</w:t>
      </w:r>
      <w:r w:rsidRPr="00201D7E">
        <w:rPr>
          <w:rFonts w:ascii="Arial" w:eastAsia="Times New Roman" w:hAnsi="Arial" w:cs="Arial"/>
          <w:lang w:val="es-MX"/>
        </w:rPr>
        <w:t xml:space="preserve"> la generación de líneas política</w:t>
      </w:r>
      <w:r w:rsidR="00412C9D" w:rsidRPr="00201D7E">
        <w:rPr>
          <w:rFonts w:ascii="Arial" w:eastAsia="Times New Roman" w:hAnsi="Arial" w:cs="Arial"/>
          <w:lang w:val="es-MX"/>
        </w:rPr>
        <w:t>s</w:t>
      </w:r>
      <w:r w:rsidRPr="00201D7E">
        <w:rPr>
          <w:rFonts w:ascii="Arial" w:eastAsia="Times New Roman" w:hAnsi="Arial" w:cs="Arial"/>
          <w:lang w:val="es-MX"/>
        </w:rPr>
        <w:t xml:space="preserve"> com</w:t>
      </w:r>
      <w:r w:rsidR="00412C9D" w:rsidRPr="00201D7E">
        <w:rPr>
          <w:rFonts w:ascii="Arial" w:eastAsia="Times New Roman" w:hAnsi="Arial" w:cs="Arial"/>
          <w:lang w:val="es-MX"/>
        </w:rPr>
        <w:t>u</w:t>
      </w:r>
      <w:r w:rsidR="003D5DC7" w:rsidRPr="00201D7E">
        <w:rPr>
          <w:rFonts w:ascii="Arial" w:eastAsia="Times New Roman" w:hAnsi="Arial" w:cs="Arial"/>
          <w:lang w:val="es-MX"/>
        </w:rPr>
        <w:t>n</w:t>
      </w:r>
      <w:r w:rsidR="00412C9D" w:rsidRPr="00201D7E">
        <w:rPr>
          <w:rFonts w:ascii="Arial" w:eastAsia="Times New Roman" w:hAnsi="Arial" w:cs="Arial"/>
          <w:lang w:val="es-MX"/>
        </w:rPr>
        <w:t>es</w:t>
      </w:r>
      <w:r w:rsidRPr="00201D7E">
        <w:rPr>
          <w:rFonts w:ascii="Arial" w:eastAsia="Times New Roman" w:hAnsi="Arial" w:cs="Arial"/>
          <w:lang w:val="es-MX"/>
        </w:rPr>
        <w:t xml:space="preserve">, que establecen un marco de acción para los países socios, </w:t>
      </w:r>
      <w:r w:rsidR="00E62ECB" w:rsidRPr="00201D7E">
        <w:rPr>
          <w:rFonts w:ascii="Arial" w:eastAsia="Times New Roman" w:hAnsi="Arial" w:cs="Arial"/>
          <w:lang w:val="es-MX"/>
        </w:rPr>
        <w:t>se trata de</w:t>
      </w:r>
      <w:r w:rsidR="006C4E31" w:rsidRPr="00201D7E">
        <w:rPr>
          <w:rFonts w:ascii="Arial" w:eastAsia="Times New Roman" w:hAnsi="Arial" w:cs="Arial"/>
          <w:lang w:val="es-MX"/>
        </w:rPr>
        <w:t xml:space="preserve"> enfrentar ventajosamente las oportunidades y desafíos que ofrece el fenómeno de la globalización</w:t>
      </w:r>
      <w:r w:rsidRPr="00201D7E">
        <w:rPr>
          <w:rFonts w:ascii="Arial" w:eastAsia="Times New Roman" w:hAnsi="Arial" w:cs="Arial"/>
          <w:lang w:val="es-MX"/>
        </w:rPr>
        <w:t xml:space="preserve">. </w:t>
      </w:r>
      <w:r w:rsidR="00E62ECB" w:rsidRPr="00201D7E">
        <w:rPr>
          <w:rFonts w:ascii="Arial" w:eastAsia="Times New Roman" w:hAnsi="Arial" w:cs="Arial"/>
          <w:lang w:val="es-MX"/>
        </w:rPr>
        <w:t>Esas líneas son generadas y sostenidas por una estructura institucional común, que es la que da f</w:t>
      </w:r>
      <w:r w:rsidR="007803CB">
        <w:rPr>
          <w:rFonts w:ascii="Arial" w:eastAsia="Times New Roman" w:hAnsi="Arial" w:cs="Arial"/>
          <w:lang w:val="es-MX"/>
        </w:rPr>
        <w:t>orma a la gobernanza del bloque</w:t>
      </w:r>
      <w:r w:rsidR="00E62ECB" w:rsidRPr="00201D7E">
        <w:rPr>
          <w:rFonts w:ascii="Arial" w:eastAsia="Times New Roman" w:hAnsi="Arial" w:cs="Arial"/>
          <w:lang w:val="es-MX"/>
        </w:rPr>
        <w:t xml:space="preserve"> </w:t>
      </w:r>
      <w:r w:rsidR="00AA06A3" w:rsidRPr="00201D7E">
        <w:rPr>
          <w:rFonts w:ascii="Arial" w:eastAsia="Times New Roman" w:hAnsi="Arial" w:cs="Arial"/>
          <w:lang w:val="es-MX"/>
        </w:rPr>
        <w:t>(Caetano, 2011)</w:t>
      </w:r>
      <w:r w:rsidR="00F96261">
        <w:rPr>
          <w:rFonts w:ascii="Arial" w:eastAsia="Times New Roman" w:hAnsi="Arial" w:cs="Arial"/>
          <w:lang w:val="es-MX"/>
        </w:rPr>
        <w:t>.</w:t>
      </w:r>
    </w:p>
    <w:p w14:paraId="5A10CE20" w14:textId="11D6CDEF" w:rsidR="009247BC" w:rsidRDefault="00E62ECB" w:rsidP="00E6008D">
      <w:pPr>
        <w:jc w:val="both"/>
        <w:rPr>
          <w:rFonts w:ascii="Arial" w:eastAsia="Times New Roman" w:hAnsi="Arial" w:cs="Arial"/>
          <w:lang w:val="es-MX"/>
        </w:rPr>
      </w:pPr>
      <w:r w:rsidRPr="00201D7E">
        <w:rPr>
          <w:rFonts w:ascii="Arial" w:eastAsia="Times New Roman" w:hAnsi="Arial" w:cs="Arial"/>
          <w:lang w:val="es-MX"/>
        </w:rPr>
        <w:t>La gobernanza d</w:t>
      </w:r>
      <w:r w:rsidR="008B719A" w:rsidRPr="00201D7E">
        <w:rPr>
          <w:rFonts w:ascii="Arial" w:eastAsia="Times New Roman" w:hAnsi="Arial" w:cs="Arial"/>
          <w:lang w:val="es-MX"/>
        </w:rPr>
        <w:t xml:space="preserve">el </w:t>
      </w:r>
      <w:r w:rsidR="001526EB">
        <w:rPr>
          <w:rFonts w:ascii="Arial" w:eastAsia="Times New Roman" w:hAnsi="Arial" w:cs="Arial"/>
          <w:lang w:val="es-MX"/>
        </w:rPr>
        <w:t>MERCOSUR</w:t>
      </w:r>
      <w:r w:rsidR="00763CBF" w:rsidRPr="00201D7E">
        <w:rPr>
          <w:rFonts w:ascii="Arial" w:eastAsia="Times New Roman" w:hAnsi="Arial" w:cs="Arial"/>
          <w:lang w:val="es-MX"/>
        </w:rPr>
        <w:t xml:space="preserve">, </w:t>
      </w:r>
      <w:r w:rsidR="00A07C2C" w:rsidRPr="00201D7E">
        <w:rPr>
          <w:rFonts w:ascii="Arial" w:eastAsia="Times New Roman" w:hAnsi="Arial" w:cs="Arial"/>
          <w:lang w:val="es-MX"/>
        </w:rPr>
        <w:t xml:space="preserve">coronada por </w:t>
      </w:r>
      <w:r w:rsidR="003729F1" w:rsidRPr="00201D7E">
        <w:rPr>
          <w:rFonts w:ascii="Arial" w:eastAsia="Times New Roman" w:hAnsi="Arial" w:cs="Arial"/>
          <w:lang w:val="es-MX"/>
        </w:rPr>
        <w:t xml:space="preserve">el </w:t>
      </w:r>
      <w:r w:rsidR="007B43DC" w:rsidRPr="00201D7E">
        <w:rPr>
          <w:rFonts w:ascii="Arial" w:eastAsia="Times New Roman" w:hAnsi="Arial" w:cs="Arial"/>
          <w:lang w:val="es-MX"/>
        </w:rPr>
        <w:t>Consejo del Mercado Común (CMC)</w:t>
      </w:r>
      <w:r w:rsidR="006F4516">
        <w:rPr>
          <w:rFonts w:ascii="Arial" w:eastAsia="Times New Roman" w:hAnsi="Arial" w:cs="Arial"/>
          <w:lang w:val="es-MX"/>
        </w:rPr>
        <w:t xml:space="preserve"> y el Grupo Mercado Común (GMC)</w:t>
      </w:r>
      <w:r w:rsidR="00A07C2C" w:rsidRPr="00201D7E">
        <w:rPr>
          <w:rFonts w:ascii="Arial" w:eastAsia="Times New Roman" w:hAnsi="Arial" w:cs="Arial"/>
          <w:lang w:val="es-MX"/>
        </w:rPr>
        <w:t>,</w:t>
      </w:r>
      <w:r w:rsidR="00763CBF" w:rsidRPr="00201D7E">
        <w:rPr>
          <w:rFonts w:ascii="Arial" w:eastAsia="Times New Roman" w:hAnsi="Arial" w:cs="Arial"/>
          <w:lang w:val="es-MX"/>
        </w:rPr>
        <w:t xml:space="preserve"> se</w:t>
      </w:r>
      <w:r w:rsidR="007B43DC" w:rsidRPr="00201D7E">
        <w:rPr>
          <w:rFonts w:ascii="Arial" w:eastAsia="Times New Roman" w:hAnsi="Arial" w:cs="Arial"/>
          <w:lang w:val="es-MX"/>
        </w:rPr>
        <w:t xml:space="preserve"> integra por representantes de los cuatros país</w:t>
      </w:r>
      <w:r w:rsidR="00763CBF" w:rsidRPr="00201D7E">
        <w:rPr>
          <w:rFonts w:ascii="Arial" w:eastAsia="Times New Roman" w:hAnsi="Arial" w:cs="Arial"/>
          <w:lang w:val="es-MX"/>
        </w:rPr>
        <w:t xml:space="preserve"> en todos los niveles de actuación</w:t>
      </w:r>
      <w:r w:rsidR="008B719A" w:rsidRPr="00201D7E">
        <w:rPr>
          <w:rFonts w:ascii="Arial" w:eastAsia="Times New Roman" w:hAnsi="Arial" w:cs="Arial"/>
          <w:lang w:val="es-MX"/>
        </w:rPr>
        <w:t>. De</w:t>
      </w:r>
      <w:r w:rsidRPr="00201D7E">
        <w:rPr>
          <w:rFonts w:ascii="Arial" w:eastAsia="Times New Roman" w:hAnsi="Arial" w:cs="Arial"/>
          <w:lang w:val="es-MX"/>
        </w:rPr>
        <w:t xml:space="preserve"> esa estructura</w:t>
      </w:r>
      <w:r w:rsidR="008B719A" w:rsidRPr="00201D7E">
        <w:rPr>
          <w:rFonts w:ascii="Arial" w:eastAsia="Times New Roman" w:hAnsi="Arial" w:cs="Arial"/>
          <w:lang w:val="es-MX"/>
        </w:rPr>
        <w:t xml:space="preserve"> se desprenden una serie de reuniones especializadas, de alto nivel político y técnico, responsables de generar orientaciones y asesorar sobre el proceso integrador</w:t>
      </w:r>
      <w:r w:rsidR="006C4E31" w:rsidRPr="00201D7E">
        <w:rPr>
          <w:rFonts w:ascii="Arial" w:eastAsia="Times New Roman" w:hAnsi="Arial" w:cs="Arial"/>
          <w:lang w:val="es-MX"/>
        </w:rPr>
        <w:t xml:space="preserve"> en sus más diversas dimensiones</w:t>
      </w:r>
      <w:r w:rsidR="006F4516">
        <w:rPr>
          <w:rStyle w:val="Refdenotaalpie"/>
          <w:rFonts w:ascii="Arial" w:eastAsia="Times New Roman" w:hAnsi="Arial" w:cs="Arial"/>
          <w:lang w:val="es-MX"/>
        </w:rPr>
        <w:footnoteReference w:id="5"/>
      </w:r>
      <w:r w:rsidR="008B719A" w:rsidRPr="00201D7E">
        <w:rPr>
          <w:rFonts w:ascii="Arial" w:eastAsia="Times New Roman" w:hAnsi="Arial" w:cs="Arial"/>
          <w:lang w:val="es-MX"/>
        </w:rPr>
        <w:t xml:space="preserve">. </w:t>
      </w:r>
      <w:r w:rsidR="006C4E31" w:rsidRPr="00201D7E">
        <w:rPr>
          <w:rFonts w:ascii="Arial" w:eastAsia="Times New Roman" w:hAnsi="Arial" w:cs="Arial"/>
          <w:lang w:val="es-MX"/>
        </w:rPr>
        <w:t xml:space="preserve">Ese marco facilitador permite que economías tan disímiles, como las de Argentina y Brasil, Paraguay y Uruguay, procesan sus diferencias y establezcan orientaciones </w:t>
      </w:r>
      <w:r w:rsidR="007B43DC" w:rsidRPr="00201D7E">
        <w:rPr>
          <w:rFonts w:ascii="Arial" w:eastAsia="Times New Roman" w:hAnsi="Arial" w:cs="Arial"/>
          <w:lang w:val="es-MX"/>
        </w:rPr>
        <w:t>para una agenda común del desarrollo</w:t>
      </w:r>
      <w:r w:rsidR="006C4E31" w:rsidRPr="00201D7E">
        <w:rPr>
          <w:rFonts w:ascii="Arial" w:eastAsia="Times New Roman" w:hAnsi="Arial" w:cs="Arial"/>
          <w:lang w:val="es-MX"/>
        </w:rPr>
        <w:t>.</w:t>
      </w:r>
    </w:p>
    <w:p w14:paraId="5FC72D15" w14:textId="32DDA090" w:rsidR="006C4E31" w:rsidRPr="005207EE" w:rsidRDefault="008B719A" w:rsidP="00577500">
      <w:pPr>
        <w:jc w:val="both"/>
        <w:rPr>
          <w:rFonts w:ascii="Arial" w:eastAsia="Times New Roman" w:hAnsi="Arial" w:cs="Arial"/>
          <w:lang w:val="es-MX"/>
        </w:rPr>
      </w:pPr>
      <w:r w:rsidRPr="00201D7E">
        <w:rPr>
          <w:rFonts w:ascii="Arial" w:eastAsia="Times New Roman" w:hAnsi="Arial" w:cs="Arial"/>
          <w:lang w:val="es-MX"/>
        </w:rPr>
        <w:t xml:space="preserve">El acuerdo regional cuenta con una serie de </w:t>
      </w:r>
      <w:r w:rsidR="006C4E31" w:rsidRPr="00201D7E">
        <w:rPr>
          <w:rFonts w:ascii="Arial" w:eastAsia="Times New Roman" w:hAnsi="Arial" w:cs="Arial"/>
          <w:lang w:val="es-MX"/>
        </w:rPr>
        <w:t>espacios</w:t>
      </w:r>
      <w:r w:rsidRPr="00201D7E">
        <w:rPr>
          <w:rFonts w:ascii="Arial" w:eastAsia="Times New Roman" w:hAnsi="Arial" w:cs="Arial"/>
          <w:lang w:val="es-MX"/>
        </w:rPr>
        <w:t xml:space="preserve"> </w:t>
      </w:r>
      <w:r w:rsidR="006C4E31" w:rsidRPr="00201D7E">
        <w:rPr>
          <w:rFonts w:ascii="Arial" w:eastAsia="Times New Roman" w:hAnsi="Arial" w:cs="Arial"/>
          <w:lang w:val="es-MX"/>
        </w:rPr>
        <w:t xml:space="preserve">vinculados a la regulación y desarrollo </w:t>
      </w:r>
      <w:r w:rsidRPr="00201D7E">
        <w:rPr>
          <w:rFonts w:ascii="Arial" w:eastAsia="Times New Roman" w:hAnsi="Arial" w:cs="Arial"/>
          <w:lang w:val="es-MX"/>
        </w:rPr>
        <w:t>social del bloque</w:t>
      </w:r>
      <w:r w:rsidR="006C4E31" w:rsidRPr="00201D7E">
        <w:rPr>
          <w:rFonts w:ascii="Arial" w:eastAsia="Times New Roman" w:hAnsi="Arial" w:cs="Arial"/>
          <w:lang w:val="es-MX"/>
        </w:rPr>
        <w:t>, con reuniones vinculadas a Empleo y Seguridad Social, Educación, Salud y Asistencia Social, por mencionar algunas</w:t>
      </w:r>
      <w:r w:rsidR="006C4E31" w:rsidRPr="005207EE">
        <w:rPr>
          <w:rFonts w:ascii="Arial" w:eastAsia="Times New Roman" w:hAnsi="Arial" w:cs="Arial"/>
          <w:lang w:val="es-MX"/>
        </w:rPr>
        <w:t>. Estos diversos ámbitos cuentan con sus planes de trabajo y sus orientaciones específicas, que buscan coadyu</w:t>
      </w:r>
      <w:r w:rsidR="004859EC">
        <w:rPr>
          <w:rFonts w:ascii="Arial" w:eastAsia="Times New Roman" w:hAnsi="Arial" w:cs="Arial"/>
          <w:lang w:val="es-MX"/>
        </w:rPr>
        <w:t>v</w:t>
      </w:r>
      <w:r w:rsidR="006C4E31" w:rsidRPr="005207EE">
        <w:rPr>
          <w:rFonts w:ascii="Arial" w:eastAsia="Times New Roman" w:hAnsi="Arial" w:cs="Arial"/>
          <w:lang w:val="es-MX"/>
        </w:rPr>
        <w:t>ar en el proceso de construcción del espacio político, social y económico común del bloque.</w:t>
      </w:r>
      <w:r w:rsidR="00E62ECB" w:rsidRPr="005207EE">
        <w:rPr>
          <w:rFonts w:ascii="Arial" w:eastAsia="Times New Roman" w:hAnsi="Arial" w:cs="Arial"/>
          <w:lang w:val="es-MX"/>
        </w:rPr>
        <w:t xml:space="preserve"> </w:t>
      </w:r>
      <w:r w:rsidR="007B43DC" w:rsidRPr="005207EE">
        <w:rPr>
          <w:rFonts w:ascii="Arial" w:eastAsia="Times New Roman" w:hAnsi="Arial" w:cs="Arial"/>
          <w:lang w:val="es-MX"/>
        </w:rPr>
        <w:t>Esas orientaciones</w:t>
      </w:r>
      <w:r w:rsidR="001D2F4E">
        <w:rPr>
          <w:rFonts w:ascii="Arial" w:eastAsia="Times New Roman" w:hAnsi="Arial" w:cs="Arial"/>
          <w:lang w:val="es-MX"/>
        </w:rPr>
        <w:t xml:space="preserve"> técnicas son luego adoptadas por los órganos de decisión política superior (dependiendo de la temática, el CMC o GMC), para luego ser </w:t>
      </w:r>
      <w:r w:rsidR="007B43DC" w:rsidRPr="005207EE">
        <w:rPr>
          <w:rFonts w:ascii="Arial" w:eastAsia="Times New Roman" w:hAnsi="Arial" w:cs="Arial"/>
          <w:lang w:val="es-MX"/>
        </w:rPr>
        <w:t xml:space="preserve">internalizadas por cada uno de los </w:t>
      </w:r>
      <w:r w:rsidR="005207EE">
        <w:rPr>
          <w:rFonts w:ascii="Arial" w:eastAsia="Times New Roman" w:hAnsi="Arial" w:cs="Arial"/>
          <w:lang w:val="es-MX"/>
        </w:rPr>
        <w:t>E</w:t>
      </w:r>
      <w:r w:rsidR="007B43DC" w:rsidRPr="005207EE">
        <w:rPr>
          <w:rFonts w:ascii="Arial" w:eastAsia="Times New Roman" w:hAnsi="Arial" w:cs="Arial"/>
          <w:lang w:val="es-MX"/>
        </w:rPr>
        <w:t xml:space="preserve">stados </w:t>
      </w:r>
      <w:r w:rsidR="007A768B">
        <w:rPr>
          <w:rFonts w:ascii="Arial" w:eastAsia="Times New Roman" w:hAnsi="Arial" w:cs="Arial"/>
          <w:lang w:val="es-MX"/>
        </w:rPr>
        <w:t>P</w:t>
      </w:r>
      <w:r w:rsidR="007B43DC" w:rsidRPr="005207EE">
        <w:rPr>
          <w:rFonts w:ascii="Arial" w:eastAsia="Times New Roman" w:hAnsi="Arial" w:cs="Arial"/>
          <w:lang w:val="es-MX"/>
        </w:rPr>
        <w:t>arte.</w:t>
      </w:r>
    </w:p>
    <w:p w14:paraId="26D3322F" w14:textId="7102F647" w:rsidR="008B719A" w:rsidRPr="00201D7E" w:rsidRDefault="006C74FC">
      <w:pPr>
        <w:jc w:val="both"/>
        <w:rPr>
          <w:rFonts w:ascii="Arial" w:eastAsia="Times New Roman" w:hAnsi="Arial" w:cs="Arial"/>
          <w:lang w:val="es-MX"/>
        </w:rPr>
      </w:pPr>
      <w:r w:rsidRPr="00201D7E">
        <w:rPr>
          <w:rFonts w:ascii="Arial" w:eastAsia="Times New Roman" w:hAnsi="Arial" w:cs="Arial"/>
          <w:lang w:val="es-MX"/>
        </w:rPr>
        <w:t>Frente a la complejidad de la agenda del desarrollo</w:t>
      </w:r>
      <w:r w:rsidR="008B719A" w:rsidRPr="00201D7E">
        <w:rPr>
          <w:rFonts w:ascii="Arial" w:eastAsia="Times New Roman" w:hAnsi="Arial" w:cs="Arial"/>
          <w:lang w:val="es-MX"/>
        </w:rPr>
        <w:t xml:space="preserve">, el </w:t>
      </w:r>
      <w:r w:rsidR="001526EB">
        <w:rPr>
          <w:rFonts w:ascii="Arial" w:eastAsia="Times New Roman" w:hAnsi="Arial" w:cs="Arial"/>
          <w:lang w:val="es-MX"/>
        </w:rPr>
        <w:t>MERCOSUR</w:t>
      </w:r>
      <w:r w:rsidR="008B719A" w:rsidRPr="00201D7E">
        <w:rPr>
          <w:rFonts w:ascii="Arial" w:eastAsia="Times New Roman" w:hAnsi="Arial" w:cs="Arial"/>
          <w:lang w:val="es-MX"/>
        </w:rPr>
        <w:t xml:space="preserve"> aparece como un espacio institucional privilegiado, con ventajas</w:t>
      </w:r>
      <w:r w:rsidRPr="00201D7E">
        <w:rPr>
          <w:rFonts w:ascii="Arial" w:eastAsia="Times New Roman" w:hAnsi="Arial" w:cs="Arial"/>
          <w:lang w:val="es-MX"/>
        </w:rPr>
        <w:t xml:space="preserve"> </w:t>
      </w:r>
      <w:r w:rsidR="00546758">
        <w:rPr>
          <w:rFonts w:ascii="Arial" w:eastAsia="Times New Roman" w:hAnsi="Arial" w:cs="Arial"/>
          <w:lang w:val="es-MX"/>
        </w:rPr>
        <w:t>competitivas</w:t>
      </w:r>
      <w:r w:rsidR="00546758" w:rsidRPr="00546758">
        <w:rPr>
          <w:rFonts w:ascii="Arial" w:eastAsia="Times New Roman" w:hAnsi="Arial" w:cs="Arial"/>
          <w:lang w:val="es-MX"/>
        </w:rPr>
        <w:t xml:space="preserve"> </w:t>
      </w:r>
      <w:r w:rsidR="008B719A" w:rsidRPr="00546758">
        <w:rPr>
          <w:rFonts w:ascii="Arial" w:eastAsia="Times New Roman" w:hAnsi="Arial" w:cs="Arial"/>
          <w:lang w:val="es-MX"/>
        </w:rPr>
        <w:t xml:space="preserve">a la hora de pensar en procesos de coordinación de las agendas de desarrollo. El </w:t>
      </w:r>
      <w:r w:rsidR="001526EB">
        <w:rPr>
          <w:rFonts w:ascii="Arial" w:eastAsia="Times New Roman" w:hAnsi="Arial" w:cs="Arial"/>
          <w:lang w:val="es-MX"/>
        </w:rPr>
        <w:t>MERCOSUR</w:t>
      </w:r>
      <w:r w:rsidR="008B719A" w:rsidRPr="00546758">
        <w:rPr>
          <w:rFonts w:ascii="Arial" w:eastAsia="Times New Roman" w:hAnsi="Arial" w:cs="Arial"/>
          <w:lang w:val="es-MX"/>
        </w:rPr>
        <w:t xml:space="preserve"> ofrece una armazón institucional, compleja y sofisticada, sobre </w:t>
      </w:r>
      <w:r w:rsidR="00E22F0F">
        <w:rPr>
          <w:rFonts w:ascii="Arial" w:eastAsia="Times New Roman" w:hAnsi="Arial" w:cs="Arial"/>
          <w:lang w:val="es-MX"/>
        </w:rPr>
        <w:t>la</w:t>
      </w:r>
      <w:r w:rsidR="008B719A" w:rsidRPr="00546758">
        <w:rPr>
          <w:rFonts w:ascii="Arial" w:eastAsia="Times New Roman" w:hAnsi="Arial" w:cs="Arial"/>
          <w:lang w:val="es-MX"/>
        </w:rPr>
        <w:t xml:space="preserve"> cual establecer objetivos compartidos, </w:t>
      </w:r>
      <w:r w:rsidR="00A07C2C" w:rsidRPr="00546758">
        <w:rPr>
          <w:rFonts w:ascii="Arial" w:eastAsia="Times New Roman" w:hAnsi="Arial" w:cs="Arial"/>
          <w:lang w:val="es-MX"/>
        </w:rPr>
        <w:t>colaboraciones</w:t>
      </w:r>
      <w:r w:rsidR="008B719A" w:rsidRPr="00546758">
        <w:rPr>
          <w:rFonts w:ascii="Arial" w:eastAsia="Times New Roman" w:hAnsi="Arial" w:cs="Arial"/>
          <w:lang w:val="es-MX"/>
        </w:rPr>
        <w:t xml:space="preserve"> y enfoques comunes frente a las múltiples agendas del desar</w:t>
      </w:r>
      <w:r w:rsidR="008B719A" w:rsidRPr="00764242">
        <w:rPr>
          <w:rFonts w:ascii="Arial" w:eastAsia="Times New Roman" w:hAnsi="Arial" w:cs="Arial"/>
          <w:lang w:val="es-MX"/>
        </w:rPr>
        <w:t>rollo global.</w:t>
      </w:r>
      <w:r w:rsidRPr="008564A9">
        <w:rPr>
          <w:rFonts w:ascii="Arial" w:eastAsia="Times New Roman" w:hAnsi="Arial" w:cs="Arial"/>
          <w:lang w:val="es-MX"/>
        </w:rPr>
        <w:t xml:space="preserve"> Por ejemplo, con la</w:t>
      </w:r>
      <w:r w:rsidR="008B719A" w:rsidRPr="00E6008D">
        <w:rPr>
          <w:rFonts w:ascii="Arial" w:eastAsia="Times New Roman" w:hAnsi="Arial" w:cs="Arial"/>
          <w:lang w:val="es-MX"/>
        </w:rPr>
        <w:t xml:space="preserve"> Comisión de Coordinación de Ministros de Asuntos Sociales del </w:t>
      </w:r>
      <w:r w:rsidR="001526EB">
        <w:rPr>
          <w:rFonts w:ascii="Arial" w:eastAsia="Times New Roman" w:hAnsi="Arial" w:cs="Arial"/>
          <w:lang w:val="es-MX"/>
        </w:rPr>
        <w:t>MERCOSUR</w:t>
      </w:r>
      <w:r w:rsidR="008B719A" w:rsidRPr="00E6008D">
        <w:rPr>
          <w:rFonts w:ascii="Arial" w:eastAsia="Times New Roman" w:hAnsi="Arial" w:cs="Arial"/>
          <w:lang w:val="es-MX"/>
        </w:rPr>
        <w:t xml:space="preserve"> (CCMASM), </w:t>
      </w:r>
      <w:r w:rsidRPr="00684583">
        <w:rPr>
          <w:rFonts w:ascii="Arial" w:eastAsia="Times New Roman" w:hAnsi="Arial" w:cs="Arial"/>
          <w:lang w:val="es-MX"/>
        </w:rPr>
        <w:t xml:space="preserve">un </w:t>
      </w:r>
      <w:r w:rsidR="008B719A" w:rsidRPr="00577500">
        <w:rPr>
          <w:rFonts w:ascii="Arial" w:eastAsia="Times New Roman" w:hAnsi="Arial" w:cs="Arial"/>
          <w:lang w:val="es-MX"/>
        </w:rPr>
        <w:t xml:space="preserve">ámbito </w:t>
      </w:r>
      <w:r w:rsidR="00E758DE">
        <w:rPr>
          <w:rFonts w:ascii="Arial" w:eastAsia="Times New Roman" w:hAnsi="Arial" w:cs="Arial"/>
          <w:lang w:val="es-MX"/>
        </w:rPr>
        <w:t xml:space="preserve">intersectorial </w:t>
      </w:r>
      <w:r w:rsidR="008B719A" w:rsidRPr="00577500">
        <w:rPr>
          <w:rFonts w:ascii="Arial" w:eastAsia="Times New Roman" w:hAnsi="Arial" w:cs="Arial"/>
          <w:lang w:val="es-MX"/>
        </w:rPr>
        <w:t xml:space="preserve">que reúne todas las </w:t>
      </w:r>
      <w:r w:rsidR="008B719A" w:rsidRPr="00577500">
        <w:rPr>
          <w:rFonts w:ascii="Arial" w:eastAsia="Times New Roman" w:hAnsi="Arial" w:cs="Arial"/>
          <w:lang w:val="es-MX"/>
        </w:rPr>
        <w:lastRenderedPageBreak/>
        <w:t>carteras especializadas en los temas amplios de la política social: Asistencia Social, Educación, Salud, Trabajo y Seguridad Social, entre los más importantes. De ellos se derivan una variedad de Subgrupos de Trabajo técnicos, responsables del diseño de iniciativas, normativas y regulaciones, vinculadas al proceso de integración regional</w:t>
      </w:r>
      <w:r w:rsidRPr="00201D7E">
        <w:rPr>
          <w:rStyle w:val="Refdenotaalpie"/>
          <w:rFonts w:ascii="Arial" w:eastAsia="Times New Roman" w:hAnsi="Arial" w:cs="Arial"/>
          <w:lang w:val="es-MX"/>
        </w:rPr>
        <w:footnoteReference w:id="6"/>
      </w:r>
      <w:r w:rsidR="008B719A" w:rsidRPr="00201D7E">
        <w:rPr>
          <w:rFonts w:ascii="Arial" w:eastAsia="Times New Roman" w:hAnsi="Arial" w:cs="Arial"/>
          <w:lang w:val="es-MX"/>
        </w:rPr>
        <w:t xml:space="preserve">. </w:t>
      </w:r>
    </w:p>
    <w:p w14:paraId="0F38FDFC" w14:textId="1A3B9C3E" w:rsidR="008B719A" w:rsidRPr="00E6008D" w:rsidRDefault="00DA30AF">
      <w:pPr>
        <w:jc w:val="both"/>
        <w:rPr>
          <w:rFonts w:ascii="Arial" w:eastAsia="Times New Roman" w:hAnsi="Arial" w:cs="Arial"/>
          <w:lang w:val="es-MX"/>
        </w:rPr>
      </w:pPr>
      <w:r w:rsidRPr="00201D7E">
        <w:rPr>
          <w:rFonts w:ascii="Arial" w:eastAsia="Times New Roman" w:hAnsi="Arial" w:cs="Arial"/>
          <w:lang w:val="es-MX"/>
        </w:rPr>
        <w:t>Además de</w:t>
      </w:r>
      <w:r w:rsidR="008B719A" w:rsidRPr="00201D7E">
        <w:rPr>
          <w:rFonts w:ascii="Arial" w:eastAsia="Times New Roman" w:hAnsi="Arial" w:cs="Arial"/>
          <w:lang w:val="es-MX"/>
        </w:rPr>
        <w:t xml:space="preserve"> este ámbito</w:t>
      </w:r>
      <w:r w:rsidRPr="00201D7E">
        <w:rPr>
          <w:rFonts w:ascii="Arial" w:eastAsia="Times New Roman" w:hAnsi="Arial" w:cs="Arial"/>
          <w:lang w:val="es-MX"/>
        </w:rPr>
        <w:t xml:space="preserve"> in</w:t>
      </w:r>
      <w:r w:rsidRPr="00AD204C">
        <w:rPr>
          <w:rFonts w:ascii="Arial" w:eastAsia="Times New Roman" w:hAnsi="Arial" w:cs="Arial"/>
          <w:lang w:val="es-MX"/>
        </w:rPr>
        <w:t>stitucional</w:t>
      </w:r>
      <w:r w:rsidR="008B719A" w:rsidRPr="00AD204C">
        <w:rPr>
          <w:rFonts w:ascii="Arial" w:eastAsia="Times New Roman" w:hAnsi="Arial" w:cs="Arial"/>
          <w:lang w:val="es-MX"/>
        </w:rPr>
        <w:t xml:space="preserve"> de coordinación de políticas, la CCMASM, </w:t>
      </w:r>
      <w:r w:rsidRPr="00AD204C">
        <w:rPr>
          <w:rFonts w:ascii="Arial" w:eastAsia="Times New Roman" w:hAnsi="Arial" w:cs="Arial"/>
          <w:lang w:val="es-MX"/>
        </w:rPr>
        <w:t>también existe</w:t>
      </w:r>
      <w:r w:rsidR="008B719A" w:rsidRPr="00AD204C">
        <w:rPr>
          <w:rFonts w:ascii="Arial" w:eastAsia="Times New Roman" w:hAnsi="Arial" w:cs="Arial"/>
          <w:lang w:val="es-MX"/>
        </w:rPr>
        <w:t xml:space="preserve"> un instrumento específico</w:t>
      </w:r>
      <w:r w:rsidRPr="00AD204C">
        <w:rPr>
          <w:rFonts w:ascii="Arial" w:eastAsia="Times New Roman" w:hAnsi="Arial" w:cs="Arial"/>
          <w:lang w:val="es-MX"/>
        </w:rPr>
        <w:t>,</w:t>
      </w:r>
      <w:r w:rsidR="008B719A" w:rsidRPr="00AD204C">
        <w:rPr>
          <w:rFonts w:ascii="Arial" w:eastAsia="Times New Roman" w:hAnsi="Arial" w:cs="Arial"/>
          <w:lang w:val="es-MX"/>
        </w:rPr>
        <w:t xml:space="preserve"> como </w:t>
      </w:r>
      <w:r w:rsidRPr="00AD204C">
        <w:rPr>
          <w:rFonts w:ascii="Arial" w:eastAsia="Times New Roman" w:hAnsi="Arial" w:cs="Arial"/>
          <w:lang w:val="es-MX"/>
        </w:rPr>
        <w:t xml:space="preserve">es </w:t>
      </w:r>
      <w:r w:rsidR="008B719A" w:rsidRPr="00AD204C">
        <w:rPr>
          <w:rFonts w:ascii="Arial" w:eastAsia="Times New Roman" w:hAnsi="Arial" w:cs="Arial"/>
          <w:lang w:val="es-MX"/>
        </w:rPr>
        <w:t xml:space="preserve">el </w:t>
      </w:r>
      <w:r w:rsidR="00412C9D" w:rsidRPr="00AD204C">
        <w:rPr>
          <w:rFonts w:ascii="Arial" w:eastAsia="Times New Roman" w:hAnsi="Arial" w:cs="Arial"/>
          <w:lang w:val="es-MX"/>
        </w:rPr>
        <w:t>Plan Estratégico de Acción Social (PEAS). El PEAS es un</w:t>
      </w:r>
      <w:r w:rsidR="00DE64A7">
        <w:rPr>
          <w:rFonts w:ascii="Arial" w:eastAsia="Times New Roman" w:hAnsi="Arial" w:cs="Arial"/>
          <w:lang w:val="es-MX"/>
        </w:rPr>
        <w:t>a</w:t>
      </w:r>
      <w:r w:rsidR="00412C9D" w:rsidRPr="00AD204C">
        <w:rPr>
          <w:rFonts w:ascii="Arial" w:eastAsia="Times New Roman" w:hAnsi="Arial" w:cs="Arial"/>
          <w:lang w:val="es-MX"/>
        </w:rPr>
        <w:t xml:space="preserve"> </w:t>
      </w:r>
      <w:r w:rsidR="00DE64A7" w:rsidRPr="00AD204C">
        <w:rPr>
          <w:rFonts w:ascii="Arial" w:eastAsia="Times New Roman" w:hAnsi="Arial" w:cs="Arial"/>
          <w:lang w:val="es-MX"/>
        </w:rPr>
        <w:t>herramienta</w:t>
      </w:r>
      <w:r w:rsidR="00412C9D" w:rsidRPr="00AD204C">
        <w:rPr>
          <w:rFonts w:ascii="Arial" w:eastAsia="Times New Roman" w:hAnsi="Arial" w:cs="Arial"/>
          <w:lang w:val="es-MX"/>
        </w:rPr>
        <w:t xml:space="preserve"> que permite jerarquiza</w:t>
      </w:r>
      <w:r w:rsidR="00BB4A73">
        <w:rPr>
          <w:rFonts w:ascii="Arial" w:eastAsia="Times New Roman" w:hAnsi="Arial" w:cs="Arial"/>
          <w:lang w:val="es-MX"/>
        </w:rPr>
        <w:t>r</w:t>
      </w:r>
      <w:r w:rsidR="00412C9D" w:rsidRPr="00AD204C">
        <w:rPr>
          <w:rFonts w:ascii="Arial" w:eastAsia="Times New Roman" w:hAnsi="Arial" w:cs="Arial"/>
          <w:lang w:val="es-MX"/>
        </w:rPr>
        <w:t xml:space="preserve"> las acciones de diversas reuniones técnicas, que entienden sobre los aspectos del desarrollo social del bloque. La supervisión de este Plan corresponde al CCMASM, organismo que reúne a los diversos ámbitos vinculados con las políticas de desarrollo social. </w:t>
      </w:r>
      <w:r w:rsidRPr="00CC010C">
        <w:rPr>
          <w:rFonts w:ascii="Arial" w:eastAsia="Times New Roman" w:hAnsi="Arial" w:cs="Arial"/>
          <w:lang w:val="es-MX"/>
        </w:rPr>
        <w:t xml:space="preserve">De esta forma, </w:t>
      </w:r>
      <w:r w:rsidR="008B719A" w:rsidRPr="00CC010C">
        <w:rPr>
          <w:rFonts w:ascii="Arial" w:eastAsia="Times New Roman" w:hAnsi="Arial" w:cs="Arial"/>
          <w:lang w:val="es-MX"/>
        </w:rPr>
        <w:t>CCMASM puede funcionar como un espacio institucional ordena</w:t>
      </w:r>
      <w:r w:rsidRPr="00BC1EF8">
        <w:rPr>
          <w:rFonts w:ascii="Arial" w:eastAsia="Times New Roman" w:hAnsi="Arial" w:cs="Arial"/>
          <w:lang w:val="es-MX"/>
        </w:rPr>
        <w:t>do</w:t>
      </w:r>
      <w:r w:rsidR="008B719A" w:rsidRPr="00BC1EF8">
        <w:rPr>
          <w:rFonts w:ascii="Arial" w:eastAsia="Times New Roman" w:hAnsi="Arial" w:cs="Arial"/>
          <w:lang w:val="es-MX"/>
        </w:rPr>
        <w:t xml:space="preserve">r, </w:t>
      </w:r>
      <w:r w:rsidRPr="00BC1EF8">
        <w:rPr>
          <w:rFonts w:ascii="Arial" w:eastAsia="Times New Roman" w:hAnsi="Arial" w:cs="Arial"/>
          <w:lang w:val="es-MX"/>
        </w:rPr>
        <w:t xml:space="preserve">para </w:t>
      </w:r>
      <w:r w:rsidR="008B719A" w:rsidRPr="005207EE">
        <w:rPr>
          <w:rFonts w:ascii="Arial" w:eastAsia="Times New Roman" w:hAnsi="Arial" w:cs="Arial"/>
          <w:lang w:val="es-MX"/>
        </w:rPr>
        <w:t>priorizar y jerarquizar</w:t>
      </w:r>
      <w:r w:rsidRPr="005207EE">
        <w:rPr>
          <w:rFonts w:ascii="Arial" w:eastAsia="Times New Roman" w:hAnsi="Arial" w:cs="Arial"/>
          <w:lang w:val="es-MX"/>
        </w:rPr>
        <w:t xml:space="preserve"> </w:t>
      </w:r>
      <w:r w:rsidR="008B719A" w:rsidRPr="005207EE">
        <w:rPr>
          <w:rFonts w:ascii="Arial" w:eastAsia="Times New Roman" w:hAnsi="Arial" w:cs="Arial"/>
          <w:lang w:val="es-MX"/>
        </w:rPr>
        <w:t>los temas que conforman la agenda del desarrollo regional. También</w:t>
      </w:r>
      <w:r w:rsidRPr="00764242">
        <w:rPr>
          <w:rFonts w:ascii="Arial" w:eastAsia="Times New Roman" w:hAnsi="Arial" w:cs="Arial"/>
          <w:lang w:val="es-MX"/>
        </w:rPr>
        <w:t xml:space="preserve"> </w:t>
      </w:r>
      <w:r w:rsidR="00323406">
        <w:rPr>
          <w:rFonts w:ascii="Arial" w:eastAsia="Times New Roman" w:hAnsi="Arial" w:cs="Arial"/>
          <w:lang w:val="es-MX"/>
        </w:rPr>
        <w:t>es</w:t>
      </w:r>
      <w:r w:rsidR="00323406" w:rsidRPr="008564A9">
        <w:rPr>
          <w:rFonts w:ascii="Arial" w:eastAsia="Times New Roman" w:hAnsi="Arial" w:cs="Arial"/>
          <w:lang w:val="es-MX"/>
        </w:rPr>
        <w:t xml:space="preserve"> </w:t>
      </w:r>
      <w:r w:rsidR="008B719A" w:rsidRPr="008564A9">
        <w:rPr>
          <w:rFonts w:ascii="Arial" w:eastAsia="Times New Roman" w:hAnsi="Arial" w:cs="Arial"/>
          <w:lang w:val="es-MX"/>
        </w:rPr>
        <w:t xml:space="preserve">un espacio de aprendizajes e intercambios de </w:t>
      </w:r>
      <w:r w:rsidR="00323406">
        <w:rPr>
          <w:rFonts w:ascii="Arial" w:eastAsia="Times New Roman" w:hAnsi="Arial" w:cs="Arial"/>
          <w:lang w:val="es-MX"/>
        </w:rPr>
        <w:t xml:space="preserve">experiencias y </w:t>
      </w:r>
      <w:r w:rsidR="008B719A" w:rsidRPr="008564A9">
        <w:rPr>
          <w:rFonts w:ascii="Arial" w:eastAsia="Times New Roman" w:hAnsi="Arial" w:cs="Arial"/>
          <w:lang w:val="es-MX"/>
        </w:rPr>
        <w:t xml:space="preserve">prácticas comprobadas de gestión del desarrollo social. </w:t>
      </w:r>
    </w:p>
    <w:p w14:paraId="42108950" w14:textId="291809C5" w:rsidR="009C3094" w:rsidRPr="00201D7E" w:rsidRDefault="00DA30AF">
      <w:pPr>
        <w:jc w:val="both"/>
        <w:rPr>
          <w:rFonts w:ascii="Arial" w:eastAsia="Times New Roman" w:hAnsi="Arial" w:cs="Arial"/>
          <w:lang w:val="es-MX"/>
        </w:rPr>
      </w:pPr>
      <w:r w:rsidRPr="00E6008D">
        <w:rPr>
          <w:rFonts w:ascii="Arial" w:eastAsia="Times New Roman" w:hAnsi="Arial" w:cs="Arial"/>
          <w:lang w:val="es-MX"/>
        </w:rPr>
        <w:t>El PEAS y la CCMASM cuenta</w:t>
      </w:r>
      <w:r w:rsidR="001D2F4E">
        <w:rPr>
          <w:rFonts w:ascii="Arial" w:eastAsia="Times New Roman" w:hAnsi="Arial" w:cs="Arial"/>
          <w:lang w:val="es-MX"/>
        </w:rPr>
        <w:t>n</w:t>
      </w:r>
      <w:r w:rsidRPr="00E6008D">
        <w:rPr>
          <w:rFonts w:ascii="Arial" w:eastAsia="Times New Roman" w:hAnsi="Arial" w:cs="Arial"/>
          <w:lang w:val="es-MX"/>
        </w:rPr>
        <w:t xml:space="preserve"> con una instancia </w:t>
      </w:r>
      <w:r w:rsidR="001D2F4E">
        <w:rPr>
          <w:rFonts w:ascii="Arial" w:eastAsia="Times New Roman" w:hAnsi="Arial" w:cs="Arial"/>
          <w:lang w:val="es-MX"/>
        </w:rPr>
        <w:t xml:space="preserve">de apoyo </w:t>
      </w:r>
      <w:r w:rsidR="001D2F4E" w:rsidRPr="00E6008D">
        <w:rPr>
          <w:rFonts w:ascii="Arial" w:eastAsia="Times New Roman" w:hAnsi="Arial" w:cs="Arial"/>
          <w:lang w:val="es-MX"/>
        </w:rPr>
        <w:t>técnic</w:t>
      </w:r>
      <w:r w:rsidR="001D2F4E">
        <w:rPr>
          <w:rFonts w:ascii="Arial" w:eastAsia="Times New Roman" w:hAnsi="Arial" w:cs="Arial"/>
          <w:lang w:val="es-MX"/>
        </w:rPr>
        <w:t>o</w:t>
      </w:r>
      <w:r w:rsidR="001D2F4E" w:rsidRPr="00E6008D">
        <w:rPr>
          <w:rFonts w:ascii="Arial" w:eastAsia="Times New Roman" w:hAnsi="Arial" w:cs="Arial"/>
          <w:lang w:val="es-MX"/>
        </w:rPr>
        <w:t xml:space="preserve"> especializad</w:t>
      </w:r>
      <w:r w:rsidR="001D2F4E">
        <w:rPr>
          <w:rFonts w:ascii="Arial" w:eastAsia="Times New Roman" w:hAnsi="Arial" w:cs="Arial"/>
          <w:lang w:val="es-MX"/>
        </w:rPr>
        <w:t>o</w:t>
      </w:r>
      <w:r w:rsidR="00323406">
        <w:rPr>
          <w:rFonts w:ascii="Arial" w:eastAsia="Times New Roman" w:hAnsi="Arial" w:cs="Arial"/>
          <w:lang w:val="es-MX"/>
        </w:rPr>
        <w:t xml:space="preserve"> en </w:t>
      </w:r>
      <w:r w:rsidRPr="00E6008D">
        <w:rPr>
          <w:rFonts w:ascii="Arial" w:eastAsia="Times New Roman" w:hAnsi="Arial" w:cs="Arial"/>
          <w:lang w:val="es-MX"/>
        </w:rPr>
        <w:t xml:space="preserve">el Instituto Social del </w:t>
      </w:r>
      <w:r w:rsidR="001526EB">
        <w:rPr>
          <w:rFonts w:ascii="Arial" w:eastAsia="Times New Roman" w:hAnsi="Arial" w:cs="Arial"/>
          <w:lang w:val="es-MX"/>
        </w:rPr>
        <w:t>MERCOSUR</w:t>
      </w:r>
      <w:r w:rsidRPr="00E6008D">
        <w:rPr>
          <w:rFonts w:ascii="Arial" w:eastAsia="Times New Roman" w:hAnsi="Arial" w:cs="Arial"/>
          <w:lang w:val="es-MX"/>
        </w:rPr>
        <w:t xml:space="preserve"> (ISM), responsable de dar seguimiento a los temas de la Dimensión Social. </w:t>
      </w:r>
      <w:r w:rsidR="009C3094" w:rsidRPr="00577500">
        <w:rPr>
          <w:rFonts w:ascii="Arial" w:eastAsia="Times New Roman" w:hAnsi="Arial" w:cs="Arial"/>
          <w:lang w:val="es-MX"/>
        </w:rPr>
        <w:t xml:space="preserve">El </w:t>
      </w:r>
      <w:r w:rsidR="00412C9D" w:rsidRPr="00577500">
        <w:rPr>
          <w:rFonts w:ascii="Arial" w:eastAsia="Times New Roman" w:hAnsi="Arial" w:cs="Arial"/>
          <w:lang w:val="es-MX"/>
        </w:rPr>
        <w:t xml:space="preserve">ISM </w:t>
      </w:r>
      <w:r w:rsidR="009C3094" w:rsidRPr="00F0232B">
        <w:rPr>
          <w:rFonts w:ascii="Arial" w:eastAsia="Times New Roman" w:hAnsi="Arial" w:cs="Arial"/>
          <w:lang w:val="es-MX"/>
        </w:rPr>
        <w:t xml:space="preserve">fue creado por los </w:t>
      </w:r>
      <w:r w:rsidRPr="00201D7E">
        <w:rPr>
          <w:rFonts w:ascii="Arial" w:eastAsia="Times New Roman" w:hAnsi="Arial" w:cs="Arial"/>
          <w:lang w:val="es-MX"/>
        </w:rPr>
        <w:t>e</w:t>
      </w:r>
      <w:r w:rsidR="009C3094" w:rsidRPr="00201D7E">
        <w:rPr>
          <w:rFonts w:ascii="Arial" w:eastAsia="Times New Roman" w:hAnsi="Arial" w:cs="Arial"/>
          <w:lang w:val="es-MX"/>
        </w:rPr>
        <w:t xml:space="preserve">stados parte del </w:t>
      </w:r>
      <w:r w:rsidR="001526EB">
        <w:rPr>
          <w:rFonts w:ascii="Arial" w:eastAsia="Times New Roman" w:hAnsi="Arial" w:cs="Arial"/>
          <w:lang w:val="es-MX"/>
        </w:rPr>
        <w:t>MERCOSUR</w:t>
      </w:r>
      <w:r w:rsidR="00412C9D" w:rsidRPr="00201D7E">
        <w:rPr>
          <w:rFonts w:ascii="Arial" w:eastAsia="Times New Roman" w:hAnsi="Arial" w:cs="Arial"/>
          <w:lang w:val="es-MX"/>
        </w:rPr>
        <w:t xml:space="preserve"> en 2007, con el </w:t>
      </w:r>
      <w:r w:rsidR="009C3094" w:rsidRPr="00201D7E">
        <w:rPr>
          <w:rFonts w:ascii="Arial" w:eastAsia="Times New Roman" w:hAnsi="Arial" w:cs="Arial"/>
          <w:lang w:val="es-MX"/>
        </w:rPr>
        <w:t>propósito de f</w:t>
      </w:r>
      <w:r w:rsidR="00412C9D" w:rsidRPr="00201D7E">
        <w:rPr>
          <w:rFonts w:ascii="Arial" w:eastAsia="Times New Roman" w:hAnsi="Arial" w:cs="Arial"/>
          <w:lang w:val="es-MX"/>
        </w:rPr>
        <w:t>avorecer el proceso de</w:t>
      </w:r>
      <w:r w:rsidR="009C3094" w:rsidRPr="00201D7E">
        <w:rPr>
          <w:rFonts w:ascii="Arial" w:eastAsia="Times New Roman" w:hAnsi="Arial" w:cs="Arial"/>
          <w:lang w:val="es-MX"/>
        </w:rPr>
        <w:t xml:space="preserve"> integración </w:t>
      </w:r>
      <w:r w:rsidR="00412C9D" w:rsidRPr="00201D7E">
        <w:rPr>
          <w:rFonts w:ascii="Arial" w:eastAsia="Times New Roman" w:hAnsi="Arial" w:cs="Arial"/>
          <w:lang w:val="es-MX"/>
        </w:rPr>
        <w:t>en sus</w:t>
      </w:r>
      <w:r w:rsidR="009C3094" w:rsidRPr="00201D7E">
        <w:rPr>
          <w:rFonts w:ascii="Arial" w:eastAsia="Times New Roman" w:hAnsi="Arial" w:cs="Arial"/>
          <w:lang w:val="es-MX"/>
        </w:rPr>
        <w:t xml:space="preserve"> dimensiones social</w:t>
      </w:r>
      <w:r w:rsidR="00412C9D" w:rsidRPr="00201D7E">
        <w:rPr>
          <w:rFonts w:ascii="Arial" w:eastAsia="Times New Roman" w:hAnsi="Arial" w:cs="Arial"/>
          <w:lang w:val="es-MX"/>
        </w:rPr>
        <w:t>es</w:t>
      </w:r>
      <w:r w:rsidR="009C3094" w:rsidRPr="00201D7E">
        <w:rPr>
          <w:rFonts w:ascii="Arial" w:eastAsia="Times New Roman" w:hAnsi="Arial" w:cs="Arial"/>
          <w:lang w:val="es-MX"/>
        </w:rPr>
        <w:t xml:space="preserve">. El Instituto viene a enriquecer la mirada sobre los procesos de la integración, buscando superar las miradas reduccionistas, que subsumen este proceso a los aspectos meramente comerciales. Por esta razón, el ISM </w:t>
      </w:r>
      <w:r w:rsidR="00323406">
        <w:rPr>
          <w:rFonts w:ascii="Arial" w:eastAsia="Times New Roman" w:hAnsi="Arial" w:cs="Arial"/>
          <w:lang w:val="es-MX"/>
        </w:rPr>
        <w:t>aporta</w:t>
      </w:r>
      <w:r w:rsidR="009C3094" w:rsidRPr="00201D7E">
        <w:rPr>
          <w:rFonts w:ascii="Arial" w:eastAsia="Times New Roman" w:hAnsi="Arial" w:cs="Arial"/>
          <w:lang w:val="es-MX"/>
        </w:rPr>
        <w:t xml:space="preserve"> a</w:t>
      </w:r>
      <w:r w:rsidR="00323406">
        <w:rPr>
          <w:rFonts w:ascii="Arial" w:eastAsia="Times New Roman" w:hAnsi="Arial" w:cs="Arial"/>
          <w:lang w:val="es-MX"/>
        </w:rPr>
        <w:t>l</w:t>
      </w:r>
      <w:r w:rsidR="009C3094" w:rsidRPr="00201D7E">
        <w:rPr>
          <w:rFonts w:ascii="Arial" w:eastAsia="Times New Roman" w:hAnsi="Arial" w:cs="Arial"/>
          <w:lang w:val="es-MX"/>
        </w:rPr>
        <w:t xml:space="preserve"> proceso de constitución de una </w:t>
      </w:r>
      <w:r w:rsidR="00452643" w:rsidRPr="00201D7E">
        <w:rPr>
          <w:rFonts w:ascii="Arial" w:eastAsia="Times New Roman" w:hAnsi="Arial" w:cs="Arial"/>
          <w:lang w:val="es-MX"/>
        </w:rPr>
        <w:t>c</w:t>
      </w:r>
      <w:r w:rsidR="009C3094" w:rsidRPr="00201D7E">
        <w:rPr>
          <w:rFonts w:ascii="Arial" w:eastAsia="Times New Roman" w:hAnsi="Arial" w:cs="Arial"/>
          <w:lang w:val="es-MX"/>
        </w:rPr>
        <w:t>iudadanía común, desde el proceso de diseño e implementación de políticas públicas en la región, contribuyendo a incorporar la visión de</w:t>
      </w:r>
      <w:r w:rsidR="00323406">
        <w:rPr>
          <w:rFonts w:ascii="Arial" w:eastAsia="Times New Roman" w:hAnsi="Arial" w:cs="Arial"/>
          <w:lang w:val="es-MX"/>
        </w:rPr>
        <w:t xml:space="preserve"> los</w:t>
      </w:r>
      <w:r w:rsidR="009C3094" w:rsidRPr="00201D7E">
        <w:rPr>
          <w:rFonts w:ascii="Arial" w:eastAsia="Times New Roman" w:hAnsi="Arial" w:cs="Arial"/>
          <w:lang w:val="es-MX"/>
        </w:rPr>
        <w:t xml:space="preserve"> derechos humanos y sociales que ha sido construida por los países del </w:t>
      </w:r>
      <w:r w:rsidR="001526EB">
        <w:rPr>
          <w:rFonts w:ascii="Arial" w:eastAsia="Times New Roman" w:hAnsi="Arial" w:cs="Arial"/>
          <w:lang w:val="es-MX"/>
        </w:rPr>
        <w:t>MERCOSUR</w:t>
      </w:r>
      <w:r w:rsidR="009C3094" w:rsidRPr="00201D7E">
        <w:rPr>
          <w:rFonts w:ascii="Arial" w:eastAsia="Times New Roman" w:hAnsi="Arial" w:cs="Arial"/>
          <w:lang w:val="es-MX"/>
        </w:rPr>
        <w:t xml:space="preserve">. </w:t>
      </w:r>
    </w:p>
    <w:p w14:paraId="0F708859" w14:textId="77777777" w:rsidR="009C3094" w:rsidRPr="00201D7E" w:rsidRDefault="009C3094">
      <w:pPr>
        <w:jc w:val="both"/>
        <w:rPr>
          <w:rFonts w:ascii="Arial" w:eastAsia="Times New Roman" w:hAnsi="Arial" w:cs="Arial"/>
          <w:lang w:val="es-AR"/>
        </w:rPr>
      </w:pPr>
    </w:p>
    <w:p w14:paraId="6B2B8057" w14:textId="1E2C7D44" w:rsidR="009C3094" w:rsidRPr="00201D7E" w:rsidRDefault="0042743A">
      <w:pPr>
        <w:jc w:val="both"/>
        <w:rPr>
          <w:rFonts w:ascii="Arial" w:hAnsi="Arial" w:cs="Arial"/>
          <w:b/>
          <w:lang w:val="es-MX"/>
        </w:rPr>
      </w:pPr>
      <w:r w:rsidRPr="00201D7E">
        <w:rPr>
          <w:rFonts w:ascii="Arial" w:hAnsi="Arial" w:cs="Arial"/>
          <w:b/>
          <w:lang w:val="es-MX"/>
        </w:rPr>
        <w:t>3</w:t>
      </w:r>
      <w:r w:rsidR="008E6703" w:rsidRPr="00201D7E">
        <w:rPr>
          <w:rFonts w:ascii="Arial" w:hAnsi="Arial" w:cs="Arial"/>
          <w:b/>
          <w:lang w:val="es-MX"/>
        </w:rPr>
        <w:t>.- La agenda global y regional de promoción del desarrollo</w:t>
      </w:r>
      <w:r w:rsidR="009C3094" w:rsidRPr="00201D7E">
        <w:rPr>
          <w:rFonts w:ascii="Arial" w:hAnsi="Arial" w:cs="Arial"/>
          <w:b/>
          <w:lang w:val="es-MX"/>
        </w:rPr>
        <w:t xml:space="preserve"> </w:t>
      </w:r>
      <w:r w:rsidR="008E6703" w:rsidRPr="00201D7E">
        <w:rPr>
          <w:rFonts w:ascii="Arial" w:hAnsi="Arial" w:cs="Arial"/>
          <w:b/>
          <w:lang w:val="es-MX"/>
        </w:rPr>
        <w:t xml:space="preserve"> </w:t>
      </w:r>
    </w:p>
    <w:p w14:paraId="7EE78AC7" w14:textId="77777777" w:rsidR="009C3094" w:rsidRPr="00201D7E" w:rsidRDefault="000D3890">
      <w:pPr>
        <w:jc w:val="both"/>
        <w:rPr>
          <w:rFonts w:ascii="Arial" w:hAnsi="Arial" w:cs="Arial"/>
          <w:lang w:val="es-MX"/>
        </w:rPr>
      </w:pPr>
      <w:r w:rsidRPr="00201D7E">
        <w:rPr>
          <w:rFonts w:ascii="Arial" w:hAnsi="Arial" w:cs="Arial"/>
          <w:lang w:val="es-MX"/>
        </w:rPr>
        <w:t xml:space="preserve">Si examinamos las agendas del desarrollo a nivel global y regional, podemos identificar </w:t>
      </w:r>
      <w:r w:rsidR="009C3094" w:rsidRPr="00201D7E">
        <w:rPr>
          <w:rFonts w:ascii="Arial" w:hAnsi="Arial" w:cs="Arial"/>
          <w:lang w:val="es-MX"/>
        </w:rPr>
        <w:t xml:space="preserve">un importante marco de acuerdos e iniciativas internacionales, direccionados a la promoción del desarrollo de los países y a la promoción y protección de los derechos de las personas. Todos estos instrumentos están inspirados por la necesidad </w:t>
      </w:r>
      <w:r w:rsidR="00DA30AF" w:rsidRPr="00201D7E">
        <w:rPr>
          <w:rFonts w:ascii="Arial" w:hAnsi="Arial" w:cs="Arial"/>
          <w:lang w:val="es-MX"/>
        </w:rPr>
        <w:t>de impulsar</w:t>
      </w:r>
      <w:r w:rsidR="009C3094" w:rsidRPr="00201D7E">
        <w:rPr>
          <w:rFonts w:ascii="Arial" w:hAnsi="Arial" w:cs="Arial"/>
          <w:lang w:val="es-MX"/>
        </w:rPr>
        <w:t xml:space="preserve"> procesos de desarrollo armónicos, que beneficien a las regiones, los países y las personas. </w:t>
      </w:r>
    </w:p>
    <w:p w14:paraId="13C3FA31" w14:textId="2BCE6EE6" w:rsidR="009C3094" w:rsidRPr="00201D7E" w:rsidRDefault="009C3094">
      <w:pPr>
        <w:jc w:val="both"/>
        <w:rPr>
          <w:rFonts w:ascii="Arial" w:hAnsi="Arial" w:cs="Arial"/>
          <w:lang w:val="es-MX"/>
        </w:rPr>
      </w:pPr>
      <w:r w:rsidRPr="00201D7E">
        <w:rPr>
          <w:rFonts w:ascii="Arial" w:hAnsi="Arial" w:cs="Arial"/>
          <w:lang w:val="es-MX"/>
        </w:rPr>
        <w:t xml:space="preserve">Para América Latina, una de las regiones del mundo con los más </w:t>
      </w:r>
      <w:r w:rsidR="001B30B5" w:rsidRPr="00201D7E">
        <w:rPr>
          <w:rFonts w:ascii="Arial" w:hAnsi="Arial" w:cs="Arial"/>
          <w:lang w:val="es-MX"/>
        </w:rPr>
        <w:t>altos</w:t>
      </w:r>
      <w:r w:rsidRPr="00201D7E">
        <w:rPr>
          <w:rFonts w:ascii="Arial" w:hAnsi="Arial" w:cs="Arial"/>
          <w:lang w:val="es-MX"/>
        </w:rPr>
        <w:t xml:space="preserve"> niveles de desigualdad económica </w:t>
      </w:r>
      <w:r w:rsidR="001B30B5" w:rsidRPr="00201D7E">
        <w:rPr>
          <w:rFonts w:ascii="Arial" w:hAnsi="Arial" w:cs="Arial"/>
          <w:lang w:val="es-MX"/>
        </w:rPr>
        <w:t xml:space="preserve">y </w:t>
      </w:r>
      <w:r w:rsidRPr="00201D7E">
        <w:rPr>
          <w:rFonts w:ascii="Arial" w:hAnsi="Arial" w:cs="Arial"/>
          <w:lang w:val="es-MX"/>
        </w:rPr>
        <w:t xml:space="preserve">social, estos marcos de políticas </w:t>
      </w:r>
      <w:r w:rsidR="000D3890" w:rsidRPr="00201D7E">
        <w:rPr>
          <w:rFonts w:ascii="Arial" w:hAnsi="Arial" w:cs="Arial"/>
          <w:lang w:val="es-MX"/>
        </w:rPr>
        <w:t xml:space="preserve">constituyen referencias </w:t>
      </w:r>
      <w:r w:rsidRPr="00201D7E">
        <w:rPr>
          <w:rFonts w:ascii="Arial" w:hAnsi="Arial" w:cs="Arial"/>
          <w:lang w:val="es-MX"/>
        </w:rPr>
        <w:t xml:space="preserve">relevantes. Para el </w:t>
      </w:r>
      <w:r w:rsidR="001526EB">
        <w:rPr>
          <w:rFonts w:ascii="Arial" w:hAnsi="Arial" w:cs="Arial"/>
          <w:lang w:val="es-MX"/>
        </w:rPr>
        <w:t>MERCOSUR</w:t>
      </w:r>
      <w:r w:rsidRPr="00201D7E">
        <w:rPr>
          <w:rFonts w:ascii="Arial" w:hAnsi="Arial" w:cs="Arial"/>
          <w:lang w:val="es-MX"/>
        </w:rPr>
        <w:t xml:space="preserve">, uno de los espacios más activos de integración política de la región, estos instrumentos son una referencia ineludible.  </w:t>
      </w:r>
    </w:p>
    <w:p w14:paraId="6061F40E" w14:textId="66CA6963" w:rsidR="00CE784B" w:rsidRDefault="009C3094" w:rsidP="006F4EFC">
      <w:pPr>
        <w:jc w:val="both"/>
        <w:rPr>
          <w:rFonts w:ascii="Arial" w:hAnsi="Arial" w:cs="Arial"/>
          <w:lang w:val="es-MX"/>
        </w:rPr>
      </w:pPr>
      <w:r w:rsidRPr="00201D7E">
        <w:rPr>
          <w:rFonts w:ascii="Arial" w:hAnsi="Arial" w:cs="Arial"/>
          <w:lang w:val="es-MX"/>
        </w:rPr>
        <w:t xml:space="preserve">Dentro del área americana contamos con al menos </w:t>
      </w:r>
      <w:r w:rsidR="008564A9">
        <w:rPr>
          <w:rFonts w:ascii="Arial" w:hAnsi="Arial" w:cs="Arial"/>
          <w:lang w:val="es-MX"/>
        </w:rPr>
        <w:t>siete</w:t>
      </w:r>
      <w:r w:rsidRPr="00BB4A73">
        <w:rPr>
          <w:rFonts w:ascii="Arial" w:hAnsi="Arial" w:cs="Arial"/>
          <w:lang w:val="es-MX"/>
        </w:rPr>
        <w:t xml:space="preserve"> instrumentos </w:t>
      </w:r>
      <w:r w:rsidR="00CE784B">
        <w:rPr>
          <w:rFonts w:ascii="Arial" w:hAnsi="Arial" w:cs="Arial"/>
          <w:lang w:val="es-MX"/>
        </w:rPr>
        <w:t xml:space="preserve">clave </w:t>
      </w:r>
      <w:r w:rsidRPr="00BB4A73">
        <w:rPr>
          <w:rFonts w:ascii="Arial" w:hAnsi="Arial" w:cs="Arial"/>
          <w:lang w:val="es-MX"/>
        </w:rPr>
        <w:t xml:space="preserve">de orientación en las políticas de desarrollo social. Los principales instrumentos son: i) </w:t>
      </w:r>
      <w:r w:rsidR="00CE784B">
        <w:rPr>
          <w:rFonts w:ascii="Arial" w:hAnsi="Arial" w:cs="Arial"/>
          <w:lang w:val="es-MX"/>
        </w:rPr>
        <w:t xml:space="preserve">el </w:t>
      </w:r>
      <w:r w:rsidR="006F4EFC" w:rsidRPr="00BB4A73">
        <w:rPr>
          <w:rFonts w:ascii="Arial" w:hAnsi="Arial" w:cs="Arial"/>
          <w:lang w:val="es-MX"/>
        </w:rPr>
        <w:t xml:space="preserve">Protocolo de </w:t>
      </w:r>
      <w:r w:rsidR="006F4EFC" w:rsidRPr="00CE784B">
        <w:rPr>
          <w:rFonts w:ascii="Arial" w:hAnsi="Arial" w:cs="Arial"/>
          <w:lang w:val="es-MX"/>
        </w:rPr>
        <w:t>San Salvador sobre Derechos Económicos, Sociales y Culturales</w:t>
      </w:r>
      <w:r w:rsidR="006F4EFC" w:rsidRPr="00764242">
        <w:rPr>
          <w:rFonts w:ascii="Arial" w:hAnsi="Arial" w:cs="Arial"/>
          <w:lang w:val="es-MX"/>
        </w:rPr>
        <w:t xml:space="preserve"> de la Organización de los Estados Americanos (OEA); ii) </w:t>
      </w:r>
      <w:r w:rsidR="00CE784B" w:rsidRPr="00764242">
        <w:rPr>
          <w:rFonts w:ascii="Arial" w:hAnsi="Arial" w:cs="Arial"/>
          <w:lang w:val="es-MX"/>
        </w:rPr>
        <w:t xml:space="preserve">el Plan Estratégico de Acción Social </w:t>
      </w:r>
      <w:r w:rsidR="00CE784B" w:rsidRPr="00764242">
        <w:rPr>
          <w:rFonts w:ascii="Arial" w:hAnsi="Arial" w:cs="Arial"/>
          <w:lang w:val="es-MX"/>
        </w:rPr>
        <w:lastRenderedPageBreak/>
        <w:t>(PEAS) del Mercado Com</w:t>
      </w:r>
      <w:r w:rsidR="00CE784B" w:rsidRPr="008564A9">
        <w:rPr>
          <w:rFonts w:ascii="Arial" w:hAnsi="Arial" w:cs="Arial"/>
          <w:lang w:val="es-MX"/>
        </w:rPr>
        <w:t>ún del Sur (</w:t>
      </w:r>
      <w:r w:rsidR="001526EB">
        <w:rPr>
          <w:rFonts w:ascii="Arial" w:hAnsi="Arial" w:cs="Arial"/>
          <w:lang w:val="es-MX"/>
        </w:rPr>
        <w:t>MERCOSUR</w:t>
      </w:r>
      <w:r w:rsidR="00CE784B" w:rsidRPr="008564A9">
        <w:rPr>
          <w:rFonts w:ascii="Arial" w:hAnsi="Arial" w:cs="Arial"/>
          <w:lang w:val="es-MX"/>
        </w:rPr>
        <w:t>); iii)</w:t>
      </w:r>
      <w:r w:rsidR="00CE784B" w:rsidRPr="00E6008D">
        <w:rPr>
          <w:rFonts w:ascii="Arial" w:hAnsi="Arial" w:cs="Arial"/>
          <w:lang w:val="es-MX"/>
        </w:rPr>
        <w:t xml:space="preserve"> la </w:t>
      </w:r>
      <w:r w:rsidR="006F4EFC" w:rsidRPr="00E6008D">
        <w:rPr>
          <w:rFonts w:ascii="Arial" w:hAnsi="Arial" w:cs="Arial"/>
          <w:lang w:val="es-MX"/>
        </w:rPr>
        <w:t>Car</w:t>
      </w:r>
      <w:r w:rsidR="006F4EFC" w:rsidRPr="00684583">
        <w:rPr>
          <w:rFonts w:ascii="Arial" w:hAnsi="Arial" w:cs="Arial"/>
          <w:lang w:val="es-MX"/>
        </w:rPr>
        <w:t>ta Social de las Américas de</w:t>
      </w:r>
      <w:r w:rsidR="006F4EFC" w:rsidRPr="00577500">
        <w:rPr>
          <w:rFonts w:ascii="Arial" w:hAnsi="Arial" w:cs="Arial"/>
          <w:lang w:val="es-MX"/>
        </w:rPr>
        <w:t xml:space="preserve"> la Organización de los Estados Americanos (OEA); </w:t>
      </w:r>
      <w:r w:rsidR="00CE784B" w:rsidRPr="00F0232B">
        <w:rPr>
          <w:rFonts w:ascii="Arial" w:hAnsi="Arial" w:cs="Arial"/>
          <w:lang w:val="es-MX"/>
        </w:rPr>
        <w:t>i</w:t>
      </w:r>
      <w:r w:rsidR="00CE784B" w:rsidRPr="00CE784B">
        <w:rPr>
          <w:rFonts w:ascii="Arial" w:hAnsi="Arial" w:cs="Arial"/>
          <w:lang w:val="es-MX"/>
        </w:rPr>
        <w:t>v</w:t>
      </w:r>
      <w:r w:rsidR="006F4EFC" w:rsidRPr="00CE784B">
        <w:rPr>
          <w:rFonts w:ascii="Arial" w:hAnsi="Arial" w:cs="Arial"/>
          <w:lang w:val="es-MX"/>
        </w:rPr>
        <w:t>) la Agenda Social Prioritaria de la Unión de Naciones Suramericanas (UNASUR);</w:t>
      </w:r>
      <w:r w:rsidR="00CE784B" w:rsidRPr="00CE784B">
        <w:rPr>
          <w:rFonts w:ascii="Arial" w:hAnsi="Arial" w:cs="Arial"/>
          <w:lang w:val="es-MX"/>
        </w:rPr>
        <w:t xml:space="preserve"> </w:t>
      </w:r>
      <w:r w:rsidR="006F4EFC" w:rsidRPr="00CE784B">
        <w:rPr>
          <w:rFonts w:ascii="Arial" w:hAnsi="Arial" w:cs="Arial"/>
          <w:lang w:val="es-MX"/>
        </w:rPr>
        <w:t xml:space="preserve">v) el Plan de </w:t>
      </w:r>
      <w:r w:rsidR="006F4EFC" w:rsidRPr="00E064B5">
        <w:rPr>
          <w:rFonts w:ascii="Arial" w:hAnsi="Arial" w:cs="Arial"/>
          <w:lang w:val="es-MX"/>
        </w:rPr>
        <w:t xml:space="preserve">Metas Sudamericanas de la </w:t>
      </w:r>
      <w:r w:rsidR="006F4EFC" w:rsidRPr="00CE784B">
        <w:rPr>
          <w:rFonts w:ascii="Arial" w:hAnsi="Arial" w:cs="Arial"/>
          <w:lang w:val="es-MX"/>
        </w:rPr>
        <w:t>Unión de Naciones Suramericanas (</w:t>
      </w:r>
      <w:r w:rsidR="006F4EFC" w:rsidRPr="00764242">
        <w:rPr>
          <w:rFonts w:ascii="Arial" w:hAnsi="Arial" w:cs="Arial"/>
          <w:lang w:val="es-MX"/>
        </w:rPr>
        <w:t>UNASUR); v</w:t>
      </w:r>
      <w:r w:rsidR="00CE784B" w:rsidRPr="00764242">
        <w:rPr>
          <w:rFonts w:ascii="Arial" w:hAnsi="Arial" w:cs="Arial"/>
          <w:lang w:val="es-MX"/>
        </w:rPr>
        <w:t>i</w:t>
      </w:r>
      <w:r w:rsidR="006F4EFC" w:rsidRPr="00764242">
        <w:rPr>
          <w:rFonts w:ascii="Arial" w:hAnsi="Arial" w:cs="Arial"/>
          <w:lang w:val="es-MX"/>
        </w:rPr>
        <w:t>) el Consenso de Montevideo sobre Población y Desarrollo</w:t>
      </w:r>
      <w:r w:rsidR="00CE784B" w:rsidRPr="00764242">
        <w:rPr>
          <w:rFonts w:ascii="Arial" w:hAnsi="Arial" w:cs="Arial"/>
          <w:lang w:val="es-MX"/>
        </w:rPr>
        <w:t xml:space="preserve"> de la Naciones Unidas (ONU</w:t>
      </w:r>
      <w:r w:rsidR="001D2F4E" w:rsidRPr="00764242">
        <w:rPr>
          <w:rFonts w:ascii="Arial" w:hAnsi="Arial" w:cs="Arial"/>
          <w:lang w:val="es-MX"/>
        </w:rPr>
        <w:t>)</w:t>
      </w:r>
      <w:r w:rsidR="001D2F4E">
        <w:rPr>
          <w:rFonts w:ascii="Arial" w:hAnsi="Arial" w:cs="Arial"/>
          <w:lang w:val="es-MX"/>
        </w:rPr>
        <w:t xml:space="preserve">. De alcance global y gran impacto en la región, tenemos </w:t>
      </w:r>
      <w:r w:rsidR="006F4EFC" w:rsidRPr="00764242">
        <w:rPr>
          <w:rFonts w:ascii="Arial" w:hAnsi="Arial" w:cs="Arial"/>
          <w:lang w:val="es-MX"/>
        </w:rPr>
        <w:t>vi</w:t>
      </w:r>
      <w:r w:rsidR="00CE784B" w:rsidRPr="00764242">
        <w:rPr>
          <w:rFonts w:ascii="Arial" w:hAnsi="Arial" w:cs="Arial"/>
          <w:lang w:val="es-MX"/>
        </w:rPr>
        <w:t>i</w:t>
      </w:r>
      <w:r w:rsidR="006F4EFC" w:rsidRPr="00764242">
        <w:rPr>
          <w:rFonts w:ascii="Arial" w:hAnsi="Arial" w:cs="Arial"/>
          <w:lang w:val="es-MX"/>
        </w:rPr>
        <w:t xml:space="preserve">) </w:t>
      </w:r>
      <w:r w:rsidR="00CE784B" w:rsidRPr="00764242">
        <w:rPr>
          <w:rFonts w:ascii="Arial" w:hAnsi="Arial" w:cs="Arial"/>
          <w:lang w:val="es-MX"/>
        </w:rPr>
        <w:t>Los Objetivos de Desarrollo Sostenible de la Agenda 2030</w:t>
      </w:r>
      <w:r w:rsidR="00CE784B" w:rsidRPr="008564A9">
        <w:rPr>
          <w:rFonts w:ascii="Arial" w:hAnsi="Arial" w:cs="Arial"/>
          <w:lang w:val="es-MX"/>
        </w:rPr>
        <w:t xml:space="preserve"> de las Naciones Unidas (ONU).</w:t>
      </w:r>
      <w:r w:rsidR="00CE784B">
        <w:rPr>
          <w:rFonts w:ascii="Arial" w:hAnsi="Arial" w:cs="Arial"/>
          <w:lang w:val="es-MX"/>
        </w:rPr>
        <w:t xml:space="preserve"> </w:t>
      </w:r>
    </w:p>
    <w:p w14:paraId="4646D5B4" w14:textId="31021391" w:rsidR="00D23ED6" w:rsidRDefault="00764242" w:rsidP="00CE784B">
      <w:pPr>
        <w:jc w:val="both"/>
        <w:rPr>
          <w:rFonts w:ascii="Arial" w:hAnsi="Arial" w:cs="Arial"/>
          <w:lang w:val="es-MX"/>
        </w:rPr>
      </w:pPr>
      <w:r>
        <w:rPr>
          <w:rFonts w:ascii="Arial" w:hAnsi="Arial" w:cs="Arial"/>
          <w:lang w:val="es-MX"/>
        </w:rPr>
        <w:t xml:space="preserve">Los instrumentos internacionales de derechos sociales fortalecen </w:t>
      </w:r>
      <w:r w:rsidR="004540CD">
        <w:rPr>
          <w:rFonts w:ascii="Arial" w:hAnsi="Arial" w:cs="Arial"/>
          <w:lang w:val="es-MX"/>
        </w:rPr>
        <w:t xml:space="preserve">el diseño y </w:t>
      </w:r>
      <w:r>
        <w:rPr>
          <w:rFonts w:ascii="Arial" w:hAnsi="Arial" w:cs="Arial"/>
          <w:lang w:val="es-MX"/>
        </w:rPr>
        <w:t>la</w:t>
      </w:r>
      <w:r w:rsidR="004540CD">
        <w:rPr>
          <w:rFonts w:ascii="Arial" w:hAnsi="Arial" w:cs="Arial"/>
          <w:lang w:val="es-MX"/>
        </w:rPr>
        <w:t xml:space="preserve"> ejecución de las políticas nacionales</w:t>
      </w:r>
      <w:r w:rsidR="00D23ED6">
        <w:rPr>
          <w:rFonts w:ascii="Arial" w:hAnsi="Arial" w:cs="Arial"/>
          <w:lang w:val="es-MX"/>
        </w:rPr>
        <w:t>,</w:t>
      </w:r>
      <w:r w:rsidR="004540CD">
        <w:rPr>
          <w:rFonts w:ascii="Arial" w:hAnsi="Arial" w:cs="Arial"/>
          <w:lang w:val="es-MX"/>
        </w:rPr>
        <w:t xml:space="preserve"> bajo un</w:t>
      </w:r>
      <w:r w:rsidR="00D23ED6">
        <w:rPr>
          <w:rFonts w:ascii="Arial" w:hAnsi="Arial" w:cs="Arial"/>
          <w:lang w:val="es-MX"/>
        </w:rPr>
        <w:t>a</w:t>
      </w:r>
      <w:r w:rsidR="004540CD">
        <w:rPr>
          <w:rFonts w:ascii="Arial" w:hAnsi="Arial" w:cs="Arial"/>
          <w:lang w:val="es-MX"/>
        </w:rPr>
        <w:t xml:space="preserve"> lógica de realización progresiva</w:t>
      </w:r>
      <w:r w:rsidR="00D23ED6">
        <w:rPr>
          <w:rFonts w:ascii="Arial" w:hAnsi="Arial" w:cs="Arial"/>
          <w:lang w:val="es-MX"/>
        </w:rPr>
        <w:t>,</w:t>
      </w:r>
      <w:r w:rsidR="004540CD">
        <w:rPr>
          <w:rFonts w:ascii="Arial" w:hAnsi="Arial" w:cs="Arial"/>
          <w:lang w:val="es-MX"/>
        </w:rPr>
        <w:t xml:space="preserve"> que garantiza</w:t>
      </w:r>
      <w:r w:rsidR="00D23ED6">
        <w:rPr>
          <w:rFonts w:ascii="Arial" w:hAnsi="Arial" w:cs="Arial"/>
          <w:lang w:val="es-MX"/>
        </w:rPr>
        <w:t>n</w:t>
      </w:r>
      <w:r w:rsidR="004540CD">
        <w:rPr>
          <w:rFonts w:ascii="Arial" w:hAnsi="Arial" w:cs="Arial"/>
          <w:lang w:val="es-MX"/>
        </w:rPr>
        <w:t xml:space="preserve"> el cumplimiento de </w:t>
      </w:r>
      <w:r w:rsidR="00D23ED6">
        <w:rPr>
          <w:rFonts w:ascii="Arial" w:hAnsi="Arial" w:cs="Arial"/>
          <w:lang w:val="es-MX"/>
        </w:rPr>
        <w:t xml:space="preserve">los </w:t>
      </w:r>
      <w:r w:rsidR="004540CD">
        <w:rPr>
          <w:rFonts w:ascii="Arial" w:hAnsi="Arial" w:cs="Arial"/>
          <w:lang w:val="es-MX"/>
        </w:rPr>
        <w:t xml:space="preserve">derechos </w:t>
      </w:r>
      <w:r w:rsidR="00D23ED6">
        <w:rPr>
          <w:rFonts w:ascii="Arial" w:hAnsi="Arial" w:cs="Arial"/>
          <w:lang w:val="es-MX"/>
        </w:rPr>
        <w:t xml:space="preserve">consignados, al mismo tiempo que contribuyen a la incorporación de nuevos derechos y beneficiarios y generan nuevas obligaciones para los Estados. </w:t>
      </w:r>
    </w:p>
    <w:p w14:paraId="5D27674B" w14:textId="07DF9EE2" w:rsidR="009C3094" w:rsidRDefault="00764242" w:rsidP="00764242">
      <w:pPr>
        <w:jc w:val="both"/>
        <w:rPr>
          <w:rFonts w:ascii="Arial" w:hAnsi="Arial" w:cs="Arial"/>
          <w:highlight w:val="yellow"/>
          <w:lang w:val="es-MX"/>
        </w:rPr>
      </w:pPr>
      <w:r>
        <w:rPr>
          <w:rFonts w:ascii="Arial" w:hAnsi="Arial" w:cs="Arial"/>
          <w:lang w:val="es-MX"/>
        </w:rPr>
        <w:t>E</w:t>
      </w:r>
      <w:r w:rsidR="009C3094" w:rsidRPr="00CE784B">
        <w:rPr>
          <w:rFonts w:ascii="Arial" w:hAnsi="Arial" w:cs="Arial"/>
          <w:lang w:val="es-MX"/>
        </w:rPr>
        <w:t>l Protocolo de San Salv</w:t>
      </w:r>
      <w:r w:rsidR="009C3094" w:rsidRPr="00764242">
        <w:rPr>
          <w:rFonts w:ascii="Arial" w:hAnsi="Arial" w:cs="Arial"/>
          <w:lang w:val="es-MX"/>
        </w:rPr>
        <w:t>ador</w:t>
      </w:r>
      <w:r>
        <w:rPr>
          <w:rFonts w:ascii="Arial" w:hAnsi="Arial" w:cs="Arial"/>
          <w:lang w:val="es-MX"/>
        </w:rPr>
        <w:t xml:space="preserve"> fue </w:t>
      </w:r>
      <w:r w:rsidR="009C3094" w:rsidRPr="00764242">
        <w:rPr>
          <w:rFonts w:ascii="Arial" w:hAnsi="Arial" w:cs="Arial"/>
          <w:lang w:val="es-MX"/>
        </w:rPr>
        <w:t>aprobado por l</w:t>
      </w:r>
      <w:r>
        <w:rPr>
          <w:rFonts w:ascii="Arial" w:hAnsi="Arial" w:cs="Arial"/>
          <w:lang w:val="es-MX"/>
        </w:rPr>
        <w:t xml:space="preserve">os países de la </w:t>
      </w:r>
      <w:r w:rsidR="009C3094" w:rsidRPr="00764242">
        <w:rPr>
          <w:rFonts w:ascii="Arial" w:hAnsi="Arial" w:cs="Arial"/>
          <w:lang w:val="es-MX"/>
        </w:rPr>
        <w:t>OEA en junio de 1999</w:t>
      </w:r>
      <w:r w:rsidR="001D2F4E">
        <w:rPr>
          <w:rFonts w:ascii="Arial" w:hAnsi="Arial" w:cs="Arial"/>
          <w:lang w:val="es-MX"/>
        </w:rPr>
        <w:t>, e instrumenta</w:t>
      </w:r>
      <w:r>
        <w:rPr>
          <w:rFonts w:ascii="Arial" w:hAnsi="Arial" w:cs="Arial"/>
          <w:lang w:val="es-MX"/>
        </w:rPr>
        <w:t xml:space="preserve"> la </w:t>
      </w:r>
      <w:r w:rsidRPr="00764242">
        <w:rPr>
          <w:rFonts w:ascii="Arial" w:hAnsi="Arial" w:cs="Arial"/>
          <w:lang w:val="es-MX"/>
        </w:rPr>
        <w:t xml:space="preserve">Convención Americana sobre Derechos Humanos (Pacto de San José), </w:t>
      </w:r>
      <w:r>
        <w:rPr>
          <w:rFonts w:ascii="Arial" w:hAnsi="Arial" w:cs="Arial"/>
          <w:lang w:val="es-MX"/>
        </w:rPr>
        <w:t>en materia de</w:t>
      </w:r>
      <w:r w:rsidRPr="00764242">
        <w:rPr>
          <w:rFonts w:ascii="Arial" w:hAnsi="Arial" w:cs="Arial"/>
          <w:lang w:val="es-MX"/>
        </w:rPr>
        <w:t xml:space="preserve"> Derechos Económicos, Sociales y Culturales (DESC)</w:t>
      </w:r>
      <w:r>
        <w:rPr>
          <w:rFonts w:ascii="Arial" w:hAnsi="Arial" w:cs="Arial"/>
          <w:lang w:val="es-MX"/>
        </w:rPr>
        <w:t>.</w:t>
      </w:r>
      <w:r w:rsidR="00DB4566">
        <w:rPr>
          <w:rFonts w:ascii="Arial" w:hAnsi="Arial" w:cs="Arial"/>
          <w:lang w:val="es-MX"/>
        </w:rPr>
        <w:t xml:space="preserve"> En el marco de sus</w:t>
      </w:r>
      <w:r>
        <w:rPr>
          <w:rFonts w:ascii="Arial" w:hAnsi="Arial" w:cs="Arial"/>
          <w:lang w:val="es-MX"/>
        </w:rPr>
        <w:t xml:space="preserve"> artículos se destacan las garantías sobre el derecho al trabajo, </w:t>
      </w:r>
      <w:r w:rsidR="00DB4566">
        <w:rPr>
          <w:rFonts w:ascii="Arial" w:hAnsi="Arial" w:cs="Arial"/>
          <w:lang w:val="es-MX"/>
        </w:rPr>
        <w:t xml:space="preserve">los derechos sindicales y a la seguridad social, a la salud y a la alimentación, a la educación y la cultura, y a un ambiente sano y condiciones dignas para todas las personas. </w:t>
      </w:r>
      <w:r w:rsidR="009C3094" w:rsidRPr="00764242">
        <w:rPr>
          <w:rFonts w:ascii="Arial" w:hAnsi="Arial" w:cs="Arial"/>
          <w:lang w:val="es-MX"/>
        </w:rPr>
        <w:t>En 2005</w:t>
      </w:r>
      <w:r w:rsidR="008564A9">
        <w:rPr>
          <w:rFonts w:ascii="Arial" w:hAnsi="Arial" w:cs="Arial"/>
          <w:lang w:val="es-MX"/>
        </w:rPr>
        <w:t xml:space="preserve">, </w:t>
      </w:r>
      <w:r w:rsidR="009C3094" w:rsidRPr="00764242">
        <w:rPr>
          <w:rFonts w:ascii="Arial" w:hAnsi="Arial" w:cs="Arial"/>
          <w:lang w:val="es-MX"/>
        </w:rPr>
        <w:t xml:space="preserve">OEA </w:t>
      </w:r>
      <w:r w:rsidR="001D2F4E" w:rsidRPr="00764242">
        <w:rPr>
          <w:rFonts w:ascii="Arial" w:hAnsi="Arial" w:cs="Arial"/>
          <w:lang w:val="es-MX"/>
        </w:rPr>
        <w:t>establec</w:t>
      </w:r>
      <w:r w:rsidR="001D2F4E">
        <w:rPr>
          <w:rFonts w:ascii="Arial" w:hAnsi="Arial" w:cs="Arial"/>
          <w:lang w:val="es-MX"/>
        </w:rPr>
        <w:t xml:space="preserve">e </w:t>
      </w:r>
      <w:r w:rsidR="009C3094" w:rsidRPr="00764242">
        <w:rPr>
          <w:rFonts w:ascii="Arial" w:hAnsi="Arial" w:cs="Arial"/>
          <w:lang w:val="es-MX"/>
        </w:rPr>
        <w:t xml:space="preserve">un mecanismo para el seguimiento </w:t>
      </w:r>
      <w:r w:rsidR="008564A9">
        <w:rPr>
          <w:rFonts w:ascii="Arial" w:hAnsi="Arial" w:cs="Arial"/>
          <w:lang w:val="es-MX"/>
        </w:rPr>
        <w:t>d</w:t>
      </w:r>
      <w:r w:rsidR="009C3094" w:rsidRPr="00764242">
        <w:rPr>
          <w:rFonts w:ascii="Arial" w:hAnsi="Arial" w:cs="Arial"/>
          <w:lang w:val="es-MX"/>
        </w:rPr>
        <w:t xml:space="preserve">el cumplimiento de los DESC </w:t>
      </w:r>
      <w:r w:rsidR="001D2F4E">
        <w:rPr>
          <w:rFonts w:ascii="Arial" w:hAnsi="Arial" w:cs="Arial"/>
          <w:lang w:val="es-MX"/>
        </w:rPr>
        <w:t>mediante</w:t>
      </w:r>
      <w:r w:rsidR="009C3094" w:rsidRPr="00764242">
        <w:rPr>
          <w:rFonts w:ascii="Arial" w:hAnsi="Arial" w:cs="Arial"/>
          <w:lang w:val="es-MX"/>
        </w:rPr>
        <w:t xml:space="preserve"> informes nacionales periódicos</w:t>
      </w:r>
      <w:r w:rsidR="009C3094" w:rsidRPr="00201D7E">
        <w:rPr>
          <w:rStyle w:val="Refdenotaalpie"/>
          <w:rFonts w:ascii="Arial" w:hAnsi="Arial" w:cs="Arial"/>
          <w:lang w:val="es-MX"/>
        </w:rPr>
        <w:footnoteReference w:id="7"/>
      </w:r>
      <w:r w:rsidR="009C3094" w:rsidRPr="00201D7E">
        <w:rPr>
          <w:rFonts w:ascii="Arial" w:hAnsi="Arial" w:cs="Arial"/>
          <w:lang w:val="es-MX"/>
        </w:rPr>
        <w:t>. En 2015</w:t>
      </w:r>
      <w:r w:rsidR="008564A9">
        <w:rPr>
          <w:rFonts w:ascii="Arial" w:hAnsi="Arial" w:cs="Arial"/>
          <w:lang w:val="es-MX"/>
        </w:rPr>
        <w:t>,</w:t>
      </w:r>
      <w:r w:rsidR="009C3094" w:rsidRPr="00201D7E">
        <w:rPr>
          <w:rFonts w:ascii="Arial" w:hAnsi="Arial" w:cs="Arial"/>
          <w:lang w:val="es-MX"/>
        </w:rPr>
        <w:t xml:space="preserve"> se </w:t>
      </w:r>
      <w:r w:rsidR="001D2F4E">
        <w:rPr>
          <w:rFonts w:ascii="Arial" w:hAnsi="Arial" w:cs="Arial"/>
          <w:lang w:val="es-MX"/>
        </w:rPr>
        <w:t xml:space="preserve">aprueba </w:t>
      </w:r>
      <w:r w:rsidR="009C3094" w:rsidRPr="00201D7E">
        <w:rPr>
          <w:rFonts w:ascii="Arial" w:hAnsi="Arial" w:cs="Arial"/>
          <w:lang w:val="es-MX"/>
        </w:rPr>
        <w:t xml:space="preserve">un </w:t>
      </w:r>
      <w:r w:rsidR="008564A9">
        <w:rPr>
          <w:rFonts w:ascii="Arial" w:hAnsi="Arial" w:cs="Arial"/>
          <w:lang w:val="es-MX"/>
        </w:rPr>
        <w:t>M</w:t>
      </w:r>
      <w:r w:rsidR="009C3094" w:rsidRPr="00201D7E">
        <w:rPr>
          <w:rFonts w:ascii="Arial" w:hAnsi="Arial" w:cs="Arial"/>
          <w:lang w:val="es-MX"/>
        </w:rPr>
        <w:t xml:space="preserve">anual de Indicadores de Progreso para la </w:t>
      </w:r>
      <w:r w:rsidR="00E6008D">
        <w:rPr>
          <w:rFonts w:ascii="Arial" w:hAnsi="Arial" w:cs="Arial"/>
          <w:lang w:val="es-MX"/>
        </w:rPr>
        <w:t>M</w:t>
      </w:r>
      <w:r w:rsidR="009C3094" w:rsidRPr="00201D7E">
        <w:rPr>
          <w:rFonts w:ascii="Arial" w:hAnsi="Arial" w:cs="Arial"/>
          <w:lang w:val="es-MX"/>
        </w:rPr>
        <w:t xml:space="preserve">edición de Derechos contemplados en el Protocolo. </w:t>
      </w:r>
      <w:r w:rsidR="001D2F4E">
        <w:rPr>
          <w:rFonts w:ascii="Arial" w:hAnsi="Arial" w:cs="Arial"/>
          <w:lang w:val="es-MX"/>
        </w:rPr>
        <w:t>El</w:t>
      </w:r>
      <w:r w:rsidR="001D2F4E" w:rsidRPr="00201D7E">
        <w:rPr>
          <w:rFonts w:ascii="Arial" w:hAnsi="Arial" w:cs="Arial"/>
          <w:lang w:val="es-MX"/>
        </w:rPr>
        <w:t xml:space="preserve"> </w:t>
      </w:r>
      <w:r w:rsidR="001D2F4E">
        <w:rPr>
          <w:rFonts w:ascii="Arial" w:hAnsi="Arial" w:cs="Arial"/>
          <w:lang w:val="es-MX"/>
        </w:rPr>
        <w:t>manual</w:t>
      </w:r>
      <w:r w:rsidR="001D2F4E" w:rsidRPr="00201D7E">
        <w:rPr>
          <w:rFonts w:ascii="Arial" w:hAnsi="Arial" w:cs="Arial"/>
          <w:lang w:val="es-MX"/>
        </w:rPr>
        <w:t xml:space="preserve"> </w:t>
      </w:r>
      <w:r w:rsidR="009C3094" w:rsidRPr="00201D7E">
        <w:rPr>
          <w:rFonts w:ascii="Arial" w:hAnsi="Arial" w:cs="Arial"/>
          <w:lang w:val="es-MX"/>
        </w:rPr>
        <w:t xml:space="preserve">propone una batería de indicadores de progreso en </w:t>
      </w:r>
      <w:r w:rsidR="008564A9">
        <w:rPr>
          <w:rFonts w:ascii="Arial" w:hAnsi="Arial" w:cs="Arial"/>
          <w:lang w:val="es-MX"/>
        </w:rPr>
        <w:t>seis</w:t>
      </w:r>
      <w:r w:rsidR="009C3094" w:rsidRPr="00201D7E">
        <w:rPr>
          <w:rFonts w:ascii="Arial" w:hAnsi="Arial" w:cs="Arial"/>
          <w:lang w:val="es-MX"/>
        </w:rPr>
        <w:t xml:space="preserve"> áreas de los DESC, diferenciando entre indicadores </w:t>
      </w:r>
      <w:r w:rsidR="008564A9">
        <w:rPr>
          <w:rFonts w:ascii="Arial" w:hAnsi="Arial" w:cs="Arial"/>
          <w:lang w:val="es-MX"/>
        </w:rPr>
        <w:t>e</w:t>
      </w:r>
      <w:r w:rsidR="009C3094" w:rsidRPr="00201D7E">
        <w:rPr>
          <w:rFonts w:ascii="Arial" w:hAnsi="Arial" w:cs="Arial"/>
          <w:lang w:val="es-MX"/>
        </w:rPr>
        <w:t xml:space="preserve">structurales, de </w:t>
      </w:r>
      <w:r w:rsidR="008564A9">
        <w:rPr>
          <w:rFonts w:ascii="Arial" w:hAnsi="Arial" w:cs="Arial"/>
          <w:lang w:val="es-MX"/>
        </w:rPr>
        <w:t>p</w:t>
      </w:r>
      <w:r w:rsidR="009C3094" w:rsidRPr="00201D7E">
        <w:rPr>
          <w:rFonts w:ascii="Arial" w:hAnsi="Arial" w:cs="Arial"/>
          <w:lang w:val="es-MX"/>
        </w:rPr>
        <w:t xml:space="preserve">roceso y </w:t>
      </w:r>
      <w:r w:rsidR="008564A9">
        <w:rPr>
          <w:rFonts w:ascii="Arial" w:hAnsi="Arial" w:cs="Arial"/>
          <w:lang w:val="es-MX"/>
        </w:rPr>
        <w:t>r</w:t>
      </w:r>
      <w:r w:rsidR="009C3094" w:rsidRPr="00201D7E">
        <w:rPr>
          <w:rFonts w:ascii="Arial" w:hAnsi="Arial" w:cs="Arial"/>
          <w:lang w:val="es-MX"/>
        </w:rPr>
        <w:t xml:space="preserve">esultado. El Manual no establece </w:t>
      </w:r>
      <w:r w:rsidR="008564A9">
        <w:rPr>
          <w:rFonts w:ascii="Arial" w:hAnsi="Arial" w:cs="Arial"/>
          <w:lang w:val="es-MX"/>
        </w:rPr>
        <w:t>m</w:t>
      </w:r>
      <w:r w:rsidR="009C3094" w:rsidRPr="00201D7E">
        <w:rPr>
          <w:rFonts w:ascii="Arial" w:hAnsi="Arial" w:cs="Arial"/>
          <w:lang w:val="es-MX"/>
        </w:rPr>
        <w:t xml:space="preserve">etas para la región, pero propone 204 indicadores de </w:t>
      </w:r>
      <w:r w:rsidR="008564A9">
        <w:rPr>
          <w:rFonts w:ascii="Arial" w:hAnsi="Arial" w:cs="Arial"/>
          <w:lang w:val="es-MX"/>
        </w:rPr>
        <w:t>r</w:t>
      </w:r>
      <w:r w:rsidR="009C3094" w:rsidRPr="00201D7E">
        <w:rPr>
          <w:rFonts w:ascii="Arial" w:hAnsi="Arial" w:cs="Arial"/>
          <w:lang w:val="es-MX"/>
        </w:rPr>
        <w:t>esultado para seguimiento de los DESC</w:t>
      </w:r>
      <w:r w:rsidR="00E6008D" w:rsidRPr="001234E2">
        <w:rPr>
          <w:rStyle w:val="Refdenotaalpie"/>
          <w:rFonts w:ascii="Arial" w:hAnsi="Arial" w:cs="Arial"/>
          <w:lang w:val="es-MX"/>
        </w:rPr>
        <w:footnoteReference w:id="8"/>
      </w:r>
      <w:r w:rsidR="008564A9" w:rsidRPr="001234E2">
        <w:rPr>
          <w:rFonts w:ascii="Arial" w:hAnsi="Arial" w:cs="Arial"/>
          <w:lang w:val="es-MX"/>
        </w:rPr>
        <w:t>.</w:t>
      </w:r>
    </w:p>
    <w:p w14:paraId="5D375D9B" w14:textId="69A03CFD" w:rsidR="00087272" w:rsidRDefault="00087272" w:rsidP="00764242">
      <w:pPr>
        <w:jc w:val="both"/>
        <w:rPr>
          <w:rFonts w:ascii="Arial" w:hAnsi="Arial" w:cs="Arial"/>
          <w:lang w:val="es-MX"/>
        </w:rPr>
      </w:pPr>
      <w:r>
        <w:rPr>
          <w:rFonts w:ascii="Arial" w:hAnsi="Arial" w:cs="Arial"/>
          <w:noProof/>
          <w:lang w:val="es-PY" w:eastAsia="es-PY"/>
        </w:rPr>
        <w:lastRenderedPageBreak/>
        <w:drawing>
          <wp:inline distT="0" distB="0" distL="0" distR="0" wp14:anchorId="205EAD01" wp14:editId="3708DA02">
            <wp:extent cx="5614670" cy="6547485"/>
            <wp:effectExtent l="0" t="0" r="508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6547485"/>
                    </a:xfrm>
                    <a:prstGeom prst="rect">
                      <a:avLst/>
                    </a:prstGeom>
                    <a:noFill/>
                  </pic:spPr>
                </pic:pic>
              </a:graphicData>
            </a:graphic>
          </wp:inline>
        </w:drawing>
      </w:r>
    </w:p>
    <w:p w14:paraId="42099DF9" w14:textId="77777777" w:rsidR="00087272" w:rsidRDefault="00087272" w:rsidP="00764242">
      <w:pPr>
        <w:jc w:val="both"/>
        <w:rPr>
          <w:rFonts w:ascii="Arial" w:hAnsi="Arial" w:cs="Arial"/>
          <w:lang w:val="es-MX"/>
        </w:rPr>
      </w:pPr>
    </w:p>
    <w:p w14:paraId="50F239C3" w14:textId="680C9348" w:rsidR="001D2F4E" w:rsidRDefault="008564A9" w:rsidP="00764242">
      <w:pPr>
        <w:jc w:val="both"/>
        <w:rPr>
          <w:rFonts w:ascii="Arial" w:hAnsi="Arial" w:cs="Arial"/>
          <w:lang w:val="es-MX"/>
        </w:rPr>
      </w:pPr>
      <w:r>
        <w:rPr>
          <w:rFonts w:ascii="Arial" w:hAnsi="Arial" w:cs="Arial"/>
          <w:lang w:val="es-MX"/>
        </w:rPr>
        <w:t xml:space="preserve">El Plan Estratégico de Acción Social del </w:t>
      </w:r>
      <w:r w:rsidR="001526EB">
        <w:rPr>
          <w:rFonts w:ascii="Arial" w:hAnsi="Arial" w:cs="Arial"/>
          <w:lang w:val="es-MX"/>
        </w:rPr>
        <w:t>MERCOSUR</w:t>
      </w:r>
      <w:r>
        <w:rPr>
          <w:rFonts w:ascii="Arial" w:hAnsi="Arial" w:cs="Arial"/>
          <w:lang w:val="es-MX"/>
        </w:rPr>
        <w:t xml:space="preserve">, conocido como PEAS, </w:t>
      </w:r>
      <w:r w:rsidR="00E6008D">
        <w:rPr>
          <w:rFonts w:ascii="Arial" w:hAnsi="Arial" w:cs="Arial"/>
          <w:lang w:val="es-MX"/>
        </w:rPr>
        <w:t>es un instrumento diseñado por los Estados Parte en 2011 con el objetivo de articular y desarrollar acciones específicas, integrales e intersectoriales para consolidar la dimensión social del bloque</w:t>
      </w:r>
      <w:r w:rsidR="00E6008D">
        <w:rPr>
          <w:rStyle w:val="Refdenotaalpie"/>
          <w:rFonts w:ascii="Arial" w:hAnsi="Arial" w:cs="Arial"/>
          <w:lang w:val="es-MX"/>
        </w:rPr>
        <w:footnoteReference w:id="9"/>
      </w:r>
      <w:r w:rsidR="00E6008D">
        <w:rPr>
          <w:rFonts w:ascii="Arial" w:hAnsi="Arial" w:cs="Arial"/>
          <w:lang w:val="es-MX"/>
        </w:rPr>
        <w:t>.</w:t>
      </w:r>
    </w:p>
    <w:p w14:paraId="457B31E2" w14:textId="710A6BF5" w:rsidR="00E60B4C" w:rsidRDefault="00E60B4C" w:rsidP="00764242">
      <w:pPr>
        <w:jc w:val="both"/>
        <w:rPr>
          <w:rFonts w:ascii="Arial" w:hAnsi="Arial" w:cs="Arial"/>
          <w:lang w:val="es-MX"/>
        </w:rPr>
      </w:pPr>
    </w:p>
    <w:p w14:paraId="37DC8499" w14:textId="570E120E" w:rsidR="00E60B4C" w:rsidRDefault="0059336B" w:rsidP="00764242">
      <w:pPr>
        <w:jc w:val="both"/>
        <w:rPr>
          <w:rFonts w:ascii="Arial" w:hAnsi="Arial" w:cs="Arial"/>
          <w:lang w:val="es-MX"/>
        </w:rPr>
      </w:pPr>
      <w:r w:rsidRPr="00E064B5">
        <w:rPr>
          <w:rFonts w:ascii="Arial" w:hAnsi="Arial" w:cs="Arial"/>
          <w:noProof/>
          <w:lang w:val="es-PY" w:eastAsia="es-PY"/>
        </w:rPr>
        <w:lastRenderedPageBreak/>
        <w:drawing>
          <wp:inline distT="0" distB="0" distL="0" distR="0" wp14:anchorId="51D79234" wp14:editId="410E6602">
            <wp:extent cx="5400040" cy="6354067"/>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00040" cy="6354067"/>
                    </a:xfrm>
                    <a:prstGeom prst="rect">
                      <a:avLst/>
                    </a:prstGeom>
                    <a:noFill/>
                    <a:ln w="9525">
                      <a:noFill/>
                      <a:miter lim="800000"/>
                      <a:headEnd/>
                      <a:tailEnd/>
                    </a:ln>
                  </pic:spPr>
                </pic:pic>
              </a:graphicData>
            </a:graphic>
          </wp:inline>
        </w:drawing>
      </w:r>
    </w:p>
    <w:p w14:paraId="349958DF" w14:textId="3348E36B" w:rsidR="009C3094" w:rsidRDefault="009C3094" w:rsidP="00E6008D">
      <w:pPr>
        <w:jc w:val="both"/>
        <w:rPr>
          <w:rFonts w:ascii="Arial" w:hAnsi="Arial" w:cs="Arial"/>
          <w:lang w:val="es-MX"/>
        </w:rPr>
      </w:pPr>
      <w:r w:rsidRPr="00AD204C">
        <w:rPr>
          <w:rFonts w:ascii="Arial" w:hAnsi="Arial" w:cs="Arial"/>
          <w:lang w:val="es-MX"/>
        </w:rPr>
        <w:t xml:space="preserve">También en el ámbito de OEA, la Carta Social de las Américas, aprobada por la Asamblea de septiembre de 2012, establece un marco general para el desarrollo integral en </w:t>
      </w:r>
      <w:r w:rsidR="00684583">
        <w:rPr>
          <w:rFonts w:ascii="Arial" w:hAnsi="Arial" w:cs="Arial"/>
          <w:lang w:val="es-MX"/>
        </w:rPr>
        <w:t>el continente</w:t>
      </w:r>
      <w:r w:rsidRPr="00AD204C">
        <w:rPr>
          <w:rFonts w:ascii="Arial" w:hAnsi="Arial" w:cs="Arial"/>
          <w:lang w:val="es-MX"/>
        </w:rPr>
        <w:t xml:space="preserve">. La Carta considera diversos campos como el económico, social, educativo, cultural y científico tecnológico. Parte de la afirmación que </w:t>
      </w:r>
      <w:r w:rsidR="00684583">
        <w:rPr>
          <w:rFonts w:ascii="Arial" w:hAnsi="Arial" w:cs="Arial"/>
          <w:lang w:val="es-MX"/>
        </w:rPr>
        <w:t>d</w:t>
      </w:r>
      <w:r w:rsidRPr="00AD204C">
        <w:rPr>
          <w:rFonts w:ascii="Arial" w:hAnsi="Arial" w:cs="Arial"/>
          <w:lang w:val="es-MX"/>
        </w:rPr>
        <w:t xml:space="preserve">emocracia y desarrollo económico y social son interdependientes y se refuerzan mutuamente, y que la promoción y protección de los derechos son consustanciales al desarrollo integral. </w:t>
      </w:r>
      <w:r w:rsidRPr="00BC1EF8">
        <w:rPr>
          <w:rFonts w:ascii="Arial" w:hAnsi="Arial" w:cs="Arial"/>
          <w:lang w:val="es-MX"/>
        </w:rPr>
        <w:t xml:space="preserve">En 2015 el Consejo Permanente de OEA </w:t>
      </w:r>
      <w:r w:rsidR="001D2F4E" w:rsidRPr="00BC1EF8">
        <w:rPr>
          <w:rFonts w:ascii="Arial" w:hAnsi="Arial" w:cs="Arial"/>
          <w:lang w:val="es-MX"/>
        </w:rPr>
        <w:t>apr</w:t>
      </w:r>
      <w:r w:rsidR="001D2F4E">
        <w:rPr>
          <w:rFonts w:ascii="Arial" w:hAnsi="Arial" w:cs="Arial"/>
          <w:lang w:val="es-MX"/>
        </w:rPr>
        <w:t>ueba</w:t>
      </w:r>
      <w:r w:rsidR="001D2F4E" w:rsidRPr="00BC1EF8">
        <w:rPr>
          <w:rFonts w:ascii="Arial" w:hAnsi="Arial" w:cs="Arial"/>
          <w:lang w:val="es-MX"/>
        </w:rPr>
        <w:t xml:space="preserve"> </w:t>
      </w:r>
      <w:r w:rsidR="00684583">
        <w:rPr>
          <w:rFonts w:ascii="Arial" w:hAnsi="Arial" w:cs="Arial"/>
          <w:lang w:val="es-MX"/>
        </w:rPr>
        <w:t>el</w:t>
      </w:r>
      <w:r w:rsidRPr="00BC1EF8">
        <w:rPr>
          <w:rFonts w:ascii="Arial" w:hAnsi="Arial" w:cs="Arial"/>
          <w:lang w:val="es-MX"/>
        </w:rPr>
        <w:t xml:space="preserve"> Plan de Acción de la Carta Social de las Américas. El Plan se estructura sobre siete áreas de intervención (dimensiones) que abarcan temas como </w:t>
      </w:r>
      <w:r w:rsidR="00684583">
        <w:rPr>
          <w:rFonts w:ascii="Arial" w:hAnsi="Arial" w:cs="Arial"/>
          <w:lang w:val="es-MX"/>
        </w:rPr>
        <w:t>t</w:t>
      </w:r>
      <w:r w:rsidRPr="00BC1EF8">
        <w:rPr>
          <w:rFonts w:ascii="Arial" w:hAnsi="Arial" w:cs="Arial"/>
          <w:lang w:val="es-MX"/>
        </w:rPr>
        <w:t xml:space="preserve">rabajo, </w:t>
      </w:r>
      <w:r w:rsidR="00684583">
        <w:rPr>
          <w:rFonts w:ascii="Arial" w:hAnsi="Arial" w:cs="Arial"/>
          <w:lang w:val="es-MX"/>
        </w:rPr>
        <w:t>p</w:t>
      </w:r>
      <w:r w:rsidRPr="00BC1EF8">
        <w:rPr>
          <w:rFonts w:ascii="Arial" w:hAnsi="Arial" w:cs="Arial"/>
          <w:lang w:val="es-MX"/>
        </w:rPr>
        <w:t xml:space="preserve">rotección </w:t>
      </w:r>
      <w:r w:rsidR="00684583">
        <w:rPr>
          <w:rFonts w:ascii="Arial" w:hAnsi="Arial" w:cs="Arial"/>
          <w:lang w:val="es-MX"/>
        </w:rPr>
        <w:t>s</w:t>
      </w:r>
      <w:r w:rsidRPr="00BC1EF8">
        <w:rPr>
          <w:rFonts w:ascii="Arial" w:hAnsi="Arial" w:cs="Arial"/>
          <w:lang w:val="es-MX"/>
        </w:rPr>
        <w:t xml:space="preserve">ocial, </w:t>
      </w:r>
      <w:r w:rsidR="00684583">
        <w:rPr>
          <w:rFonts w:ascii="Arial" w:hAnsi="Arial" w:cs="Arial"/>
          <w:lang w:val="es-MX"/>
        </w:rPr>
        <w:t>v</w:t>
      </w:r>
      <w:r w:rsidRPr="00BC1EF8">
        <w:rPr>
          <w:rFonts w:ascii="Arial" w:hAnsi="Arial" w:cs="Arial"/>
          <w:lang w:val="es-MX"/>
        </w:rPr>
        <w:t>ivienda, entre otros. Este plan incorpora 54 líneas estratégicas de acción, con orientaciones más precisas de trabajo en materia de desarrollo social integral</w:t>
      </w:r>
      <w:r w:rsidR="00684583">
        <w:rPr>
          <w:rFonts w:ascii="Arial" w:hAnsi="Arial" w:cs="Arial"/>
          <w:lang w:val="es-MX"/>
        </w:rPr>
        <w:t>.</w:t>
      </w:r>
      <w:r w:rsidRPr="00764242">
        <w:rPr>
          <w:rFonts w:ascii="Arial" w:hAnsi="Arial" w:cs="Arial"/>
          <w:lang w:val="es-MX"/>
        </w:rPr>
        <w:t xml:space="preserve"> </w:t>
      </w:r>
      <w:r w:rsidR="00684583" w:rsidRPr="00E6008D">
        <w:rPr>
          <w:rFonts w:ascii="Arial" w:hAnsi="Arial" w:cs="Arial"/>
          <w:lang w:val="es-MX"/>
        </w:rPr>
        <w:t xml:space="preserve">Los países son los responsables de implementar estas orientaciones, y el Consejo Interamericano para el Desarrollo Integral (CIDI) de OEA es </w:t>
      </w:r>
      <w:r w:rsidR="00684583">
        <w:rPr>
          <w:rFonts w:ascii="Arial" w:hAnsi="Arial" w:cs="Arial"/>
          <w:lang w:val="es-MX"/>
        </w:rPr>
        <w:lastRenderedPageBreak/>
        <w:t>el encargado</w:t>
      </w:r>
      <w:r w:rsidR="00684583" w:rsidRPr="00E6008D">
        <w:rPr>
          <w:rFonts w:ascii="Arial" w:hAnsi="Arial" w:cs="Arial"/>
          <w:lang w:val="es-MX"/>
        </w:rPr>
        <w:t xml:space="preserve"> de su seguimiento. El plan carece de metas e indicadores para su evaluación y seguimiento.</w:t>
      </w:r>
    </w:p>
    <w:p w14:paraId="0E493CCB" w14:textId="70E2E142" w:rsidR="0059336B" w:rsidRPr="00764242" w:rsidRDefault="0059336B" w:rsidP="00E6008D">
      <w:pPr>
        <w:jc w:val="both"/>
        <w:rPr>
          <w:rFonts w:ascii="Arial" w:hAnsi="Arial" w:cs="Arial"/>
          <w:lang w:val="es-MX"/>
        </w:rPr>
      </w:pPr>
      <w:r w:rsidRPr="00E064B5">
        <w:rPr>
          <w:rFonts w:ascii="Arial" w:hAnsi="Arial" w:cs="Arial"/>
          <w:noProof/>
          <w:lang w:val="es-PY" w:eastAsia="es-PY"/>
        </w:rPr>
        <w:drawing>
          <wp:inline distT="0" distB="0" distL="0" distR="0" wp14:anchorId="4AE88AA0" wp14:editId="673777C4">
            <wp:extent cx="5399405" cy="82772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401026" cy="8279710"/>
                    </a:xfrm>
                    <a:prstGeom prst="rect">
                      <a:avLst/>
                    </a:prstGeom>
                    <a:noFill/>
                    <a:ln w="9525">
                      <a:noFill/>
                      <a:miter lim="800000"/>
                      <a:headEnd/>
                      <a:tailEnd/>
                    </a:ln>
                  </pic:spPr>
                </pic:pic>
              </a:graphicData>
            </a:graphic>
          </wp:inline>
        </w:drawing>
      </w:r>
    </w:p>
    <w:p w14:paraId="72841E8E" w14:textId="787836CA" w:rsidR="009C3094" w:rsidRDefault="009C3094" w:rsidP="00E6008D">
      <w:pPr>
        <w:jc w:val="both"/>
        <w:rPr>
          <w:rFonts w:ascii="Arial" w:hAnsi="Arial" w:cs="Arial"/>
          <w:lang w:val="es-MX"/>
        </w:rPr>
      </w:pPr>
      <w:r w:rsidRPr="00E6008D">
        <w:rPr>
          <w:rFonts w:ascii="Arial" w:hAnsi="Arial" w:cs="Arial"/>
          <w:lang w:val="es-MX"/>
        </w:rPr>
        <w:lastRenderedPageBreak/>
        <w:t xml:space="preserve">La UNASUR </w:t>
      </w:r>
      <w:r w:rsidR="000E36C5">
        <w:rPr>
          <w:rFonts w:ascii="Arial" w:hAnsi="Arial" w:cs="Arial"/>
          <w:lang w:val="es-MX"/>
        </w:rPr>
        <w:t>igualmente</w:t>
      </w:r>
      <w:r w:rsidR="000E36C5" w:rsidRPr="00E6008D">
        <w:rPr>
          <w:rFonts w:ascii="Arial" w:hAnsi="Arial" w:cs="Arial"/>
          <w:lang w:val="es-MX"/>
        </w:rPr>
        <w:t xml:space="preserve"> </w:t>
      </w:r>
      <w:r w:rsidRPr="00E6008D">
        <w:rPr>
          <w:rFonts w:ascii="Arial" w:hAnsi="Arial" w:cs="Arial"/>
          <w:lang w:val="es-MX"/>
        </w:rPr>
        <w:t>ha definido un marco regional para orientar las políticas de desarrollo en la región. Este marco está definido en primer lugar por la Agenda de Acciones Sociales Prioritarias de UNASUR, aprobada en el año 2012. En segundo término, un desarrollo más recie</w:t>
      </w:r>
      <w:r w:rsidRPr="000E36C5">
        <w:rPr>
          <w:rFonts w:ascii="Arial" w:hAnsi="Arial" w:cs="Arial"/>
          <w:lang w:val="es-MX"/>
        </w:rPr>
        <w:t xml:space="preserve">nte es el de las “Metas Sudamericanas para el Desarrollo Social”, que amplía notablemente al marco de trabajo, con una mayor precisión metodológica. </w:t>
      </w:r>
      <w:r w:rsidRPr="00577500">
        <w:rPr>
          <w:rFonts w:ascii="Arial" w:hAnsi="Arial" w:cs="Arial"/>
          <w:lang w:val="es-MX"/>
        </w:rPr>
        <w:t xml:space="preserve">La Agenda de Acciones Sociales está definida por las Decisiones de Jefes de Gobierno y Estado de UNASUR. La Agenda se conforma por </w:t>
      </w:r>
      <w:r w:rsidR="000E36C5">
        <w:rPr>
          <w:rFonts w:ascii="Arial" w:hAnsi="Arial" w:cs="Arial"/>
          <w:lang w:val="es-MX"/>
        </w:rPr>
        <w:t>cinco</w:t>
      </w:r>
      <w:r w:rsidRPr="000E36C5">
        <w:rPr>
          <w:rFonts w:ascii="Arial" w:hAnsi="Arial" w:cs="Arial"/>
          <w:lang w:val="es-MX"/>
        </w:rPr>
        <w:t xml:space="preserve"> grandes ejes de intervención, que abarcan asuntos generales como la </w:t>
      </w:r>
      <w:r w:rsidR="000E36C5">
        <w:rPr>
          <w:rFonts w:ascii="Arial" w:hAnsi="Arial" w:cs="Arial"/>
          <w:lang w:val="es-MX"/>
        </w:rPr>
        <w:t>p</w:t>
      </w:r>
      <w:r w:rsidRPr="000E36C5">
        <w:rPr>
          <w:rFonts w:ascii="Arial" w:hAnsi="Arial" w:cs="Arial"/>
          <w:lang w:val="es-MX"/>
        </w:rPr>
        <w:t xml:space="preserve">rotección </w:t>
      </w:r>
      <w:r w:rsidR="000E36C5">
        <w:rPr>
          <w:rFonts w:ascii="Arial" w:hAnsi="Arial" w:cs="Arial"/>
          <w:lang w:val="es-MX"/>
        </w:rPr>
        <w:t>s</w:t>
      </w:r>
      <w:r w:rsidRPr="000E36C5">
        <w:rPr>
          <w:rFonts w:ascii="Arial" w:hAnsi="Arial" w:cs="Arial"/>
          <w:lang w:val="es-MX"/>
        </w:rPr>
        <w:t xml:space="preserve">ocial, la </w:t>
      </w:r>
      <w:r w:rsidR="000E36C5">
        <w:rPr>
          <w:rFonts w:ascii="Arial" w:hAnsi="Arial" w:cs="Arial"/>
          <w:lang w:val="es-MX"/>
        </w:rPr>
        <w:t>a</w:t>
      </w:r>
      <w:r w:rsidRPr="000E36C5">
        <w:rPr>
          <w:rFonts w:ascii="Arial" w:hAnsi="Arial" w:cs="Arial"/>
          <w:lang w:val="es-MX"/>
        </w:rPr>
        <w:t xml:space="preserve">limentación o la </w:t>
      </w:r>
      <w:r w:rsidR="000E36C5">
        <w:rPr>
          <w:rFonts w:ascii="Arial" w:hAnsi="Arial" w:cs="Arial"/>
          <w:lang w:val="es-MX"/>
        </w:rPr>
        <w:t>i</w:t>
      </w:r>
      <w:r w:rsidRPr="000E36C5">
        <w:rPr>
          <w:rFonts w:ascii="Arial" w:hAnsi="Arial" w:cs="Arial"/>
          <w:lang w:val="es-MX"/>
        </w:rPr>
        <w:t xml:space="preserve">nclusión </w:t>
      </w:r>
      <w:r w:rsidR="000E36C5">
        <w:rPr>
          <w:rFonts w:ascii="Arial" w:hAnsi="Arial" w:cs="Arial"/>
          <w:lang w:val="es-MX"/>
        </w:rPr>
        <w:t>p</w:t>
      </w:r>
      <w:r w:rsidRPr="000E36C5">
        <w:rPr>
          <w:rFonts w:ascii="Arial" w:hAnsi="Arial" w:cs="Arial"/>
          <w:lang w:val="es-MX"/>
        </w:rPr>
        <w:t xml:space="preserve">roductiva. El documento </w:t>
      </w:r>
      <w:r w:rsidR="009560A7">
        <w:rPr>
          <w:rFonts w:ascii="Arial" w:hAnsi="Arial" w:cs="Arial"/>
          <w:lang w:val="es-MX"/>
        </w:rPr>
        <w:t>en</w:t>
      </w:r>
      <w:r w:rsidRPr="000E36C5">
        <w:rPr>
          <w:rFonts w:ascii="Arial" w:hAnsi="Arial" w:cs="Arial"/>
          <w:lang w:val="es-MX"/>
        </w:rPr>
        <w:t xml:space="preserve">lista una variedad de acciones en cada uno de los ejes, aunque no llega a plantear metas ni indicadores. La UNASUR ha definido grupos de trabajo </w:t>
      </w:r>
      <w:r w:rsidR="000E36C5">
        <w:rPr>
          <w:rFonts w:ascii="Arial" w:hAnsi="Arial" w:cs="Arial"/>
          <w:lang w:val="es-MX"/>
        </w:rPr>
        <w:t xml:space="preserve">permanentes para cada uno de los ejes </w:t>
      </w:r>
      <w:r w:rsidRPr="000E36C5">
        <w:rPr>
          <w:rFonts w:ascii="Arial" w:hAnsi="Arial" w:cs="Arial"/>
          <w:lang w:val="es-MX"/>
        </w:rPr>
        <w:t>integrados por los países</w:t>
      </w:r>
      <w:r w:rsidR="006402FF">
        <w:rPr>
          <w:rFonts w:ascii="Arial" w:hAnsi="Arial" w:cs="Arial"/>
          <w:lang w:val="es-MX"/>
        </w:rPr>
        <w:t xml:space="preserve">. </w:t>
      </w:r>
      <w:r w:rsidR="006402FF" w:rsidRPr="009560A7">
        <w:rPr>
          <w:rFonts w:ascii="Arial" w:hAnsi="Arial" w:cs="Arial"/>
          <w:lang w:val="es-MX"/>
        </w:rPr>
        <w:t>Durante el 2016 UNASUR logró avanzar en la confección del marco de las Metas Sudamericanas, las cuales establecen diez grandes dimensiones de trabajo</w:t>
      </w:r>
      <w:r w:rsidR="001D2F4E">
        <w:rPr>
          <w:rFonts w:ascii="Arial" w:hAnsi="Arial" w:cs="Arial"/>
          <w:lang w:val="es-MX"/>
        </w:rPr>
        <w:t xml:space="preserve">, con </w:t>
      </w:r>
      <w:r w:rsidR="006402FF" w:rsidRPr="009560A7">
        <w:rPr>
          <w:rFonts w:ascii="Arial" w:hAnsi="Arial" w:cs="Arial"/>
          <w:lang w:val="es-MX"/>
        </w:rPr>
        <w:t>veinticuatro metas</w:t>
      </w:r>
      <w:r w:rsidR="001D2F4E">
        <w:rPr>
          <w:rFonts w:ascii="Arial" w:hAnsi="Arial" w:cs="Arial"/>
          <w:lang w:val="es-MX"/>
        </w:rPr>
        <w:t xml:space="preserve"> y</w:t>
      </w:r>
      <w:r w:rsidR="006402FF" w:rsidRPr="009560A7">
        <w:rPr>
          <w:rFonts w:ascii="Arial" w:hAnsi="Arial" w:cs="Arial"/>
          <w:lang w:val="es-MX"/>
        </w:rPr>
        <w:t xml:space="preserve"> </w:t>
      </w:r>
      <w:r w:rsidR="006402FF">
        <w:rPr>
          <w:rFonts w:ascii="Arial" w:hAnsi="Arial" w:cs="Arial"/>
          <w:lang w:val="es-MX"/>
        </w:rPr>
        <w:t>cuarenta y siete</w:t>
      </w:r>
      <w:r w:rsidR="006402FF" w:rsidRPr="009560A7">
        <w:rPr>
          <w:rFonts w:ascii="Arial" w:hAnsi="Arial" w:cs="Arial"/>
          <w:lang w:val="es-MX"/>
        </w:rPr>
        <w:t xml:space="preserve"> indicadores de seguimiento. Se aprecia </w:t>
      </w:r>
      <w:r w:rsidR="006402FF" w:rsidRPr="006402FF">
        <w:rPr>
          <w:rFonts w:ascii="Arial" w:hAnsi="Arial" w:cs="Arial"/>
          <w:lang w:val="es-MX"/>
        </w:rPr>
        <w:t xml:space="preserve">que varias de las dimensiones e indicadores contenidas han </w:t>
      </w:r>
      <w:r w:rsidR="006402FF">
        <w:rPr>
          <w:rFonts w:ascii="Arial" w:hAnsi="Arial" w:cs="Arial"/>
          <w:lang w:val="es-MX"/>
        </w:rPr>
        <w:t xml:space="preserve">tomado en cuenta </w:t>
      </w:r>
      <w:r w:rsidR="006402FF" w:rsidRPr="006402FF">
        <w:rPr>
          <w:rFonts w:ascii="Arial" w:hAnsi="Arial" w:cs="Arial"/>
          <w:lang w:val="es-MX"/>
        </w:rPr>
        <w:t xml:space="preserve">la estructura de los ODS </w:t>
      </w:r>
      <w:r w:rsidR="001D2F4E">
        <w:rPr>
          <w:rFonts w:ascii="Arial" w:hAnsi="Arial" w:cs="Arial"/>
          <w:lang w:val="es-MX"/>
        </w:rPr>
        <w:t>y el PEAS</w:t>
      </w:r>
      <w:r w:rsidR="0059336B">
        <w:rPr>
          <w:rFonts w:ascii="Arial" w:hAnsi="Arial" w:cs="Arial"/>
          <w:lang w:val="es-MX"/>
        </w:rPr>
        <w:t>.</w:t>
      </w:r>
    </w:p>
    <w:p w14:paraId="36DADBA5" w14:textId="4ABAA205" w:rsidR="0059336B" w:rsidRPr="000E36C5" w:rsidRDefault="0059336B" w:rsidP="00E6008D">
      <w:pPr>
        <w:jc w:val="both"/>
        <w:rPr>
          <w:rFonts w:ascii="Arial" w:hAnsi="Arial" w:cs="Arial"/>
          <w:lang w:val="es-MX"/>
        </w:rPr>
      </w:pPr>
      <w:r w:rsidRPr="00E064B5">
        <w:rPr>
          <w:rFonts w:ascii="Arial" w:hAnsi="Arial" w:cs="Arial"/>
          <w:noProof/>
          <w:lang w:val="es-PY" w:eastAsia="es-PY"/>
        </w:rPr>
        <w:lastRenderedPageBreak/>
        <w:drawing>
          <wp:inline distT="0" distB="0" distL="0" distR="0" wp14:anchorId="74E666EA" wp14:editId="721FAD42">
            <wp:extent cx="5400040" cy="7901484"/>
            <wp:effectExtent l="0" t="0" r="0" b="444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400040" cy="7901484"/>
                    </a:xfrm>
                    <a:prstGeom prst="rect">
                      <a:avLst/>
                    </a:prstGeom>
                    <a:noFill/>
                    <a:ln w="9525">
                      <a:noFill/>
                      <a:miter lim="800000"/>
                      <a:headEnd/>
                      <a:tailEnd/>
                    </a:ln>
                  </pic:spPr>
                </pic:pic>
              </a:graphicData>
            </a:graphic>
          </wp:inline>
        </w:drawing>
      </w:r>
    </w:p>
    <w:p w14:paraId="4EF906ED" w14:textId="416D69C3" w:rsidR="0031085D" w:rsidRDefault="006402FF" w:rsidP="00577500">
      <w:pPr>
        <w:jc w:val="both"/>
        <w:rPr>
          <w:rFonts w:ascii="Arial" w:hAnsi="Arial" w:cs="Arial"/>
        </w:rPr>
      </w:pPr>
      <w:r w:rsidRPr="003F5885">
        <w:rPr>
          <w:rFonts w:ascii="Arial" w:hAnsi="Arial" w:cs="Arial"/>
        </w:rPr>
        <w:t xml:space="preserve">El Consenso de Montevideo surge de la Conferencia Regional sobre Población y Desarrollo de 2013. Es un esquema orientador de las políticas de población y desarrollo para la región latinoamericana, frente a los mandatos del Programa de Acción de la Conferencia Internacional sobre Población y Desarrollo de la ONU, realizado en 1994 </w:t>
      </w:r>
      <w:r w:rsidRPr="003F5885">
        <w:rPr>
          <w:rFonts w:ascii="Arial" w:hAnsi="Arial" w:cs="Arial"/>
        </w:rPr>
        <w:lastRenderedPageBreak/>
        <w:t>en la ciudad de El Cairo</w:t>
      </w:r>
      <w:r w:rsidR="00577500">
        <w:rPr>
          <w:rStyle w:val="Refdenotaalpie"/>
          <w:rFonts w:ascii="Arial" w:hAnsi="Arial" w:cs="Arial"/>
        </w:rPr>
        <w:footnoteReference w:id="10"/>
      </w:r>
      <w:r w:rsidRPr="003F5885">
        <w:rPr>
          <w:rFonts w:ascii="Arial" w:hAnsi="Arial" w:cs="Arial"/>
        </w:rPr>
        <w:t xml:space="preserve">. El Consenso </w:t>
      </w:r>
      <w:r w:rsidR="000F0BDB">
        <w:rPr>
          <w:rFonts w:ascii="Arial" w:hAnsi="Arial" w:cs="Arial"/>
        </w:rPr>
        <w:t>c</w:t>
      </w:r>
      <w:r w:rsidR="000F0BDB" w:rsidRPr="00AD204C">
        <w:rPr>
          <w:rFonts w:ascii="Arial" w:hAnsi="Arial" w:cs="Arial"/>
        </w:rPr>
        <w:t>onsta de un primer eje que establece orientaciones generales para la política de población y desarrollo, y otros ocho ejes referidos a grupos poblacionales específicos</w:t>
      </w:r>
      <w:r w:rsidR="000F0BDB">
        <w:rPr>
          <w:rFonts w:ascii="Arial" w:hAnsi="Arial" w:cs="Arial"/>
        </w:rPr>
        <w:t xml:space="preserve">, </w:t>
      </w:r>
      <w:r w:rsidRPr="003F5885">
        <w:rPr>
          <w:rFonts w:ascii="Arial" w:hAnsi="Arial" w:cs="Arial"/>
        </w:rPr>
        <w:t xml:space="preserve">con más de </w:t>
      </w:r>
      <w:r w:rsidR="00577500">
        <w:rPr>
          <w:rFonts w:ascii="Arial" w:hAnsi="Arial" w:cs="Arial"/>
        </w:rPr>
        <w:t>ciento veinte</w:t>
      </w:r>
      <w:r w:rsidRPr="003F5885">
        <w:rPr>
          <w:rFonts w:ascii="Arial" w:hAnsi="Arial" w:cs="Arial"/>
        </w:rPr>
        <w:t xml:space="preserve"> </w:t>
      </w:r>
      <w:r w:rsidR="00577500">
        <w:rPr>
          <w:rFonts w:ascii="Arial" w:hAnsi="Arial" w:cs="Arial"/>
        </w:rPr>
        <w:t>m</w:t>
      </w:r>
      <w:r w:rsidRPr="003F5885">
        <w:rPr>
          <w:rFonts w:ascii="Arial" w:hAnsi="Arial" w:cs="Arial"/>
        </w:rPr>
        <w:t xml:space="preserve">edidas </w:t>
      </w:r>
      <w:r w:rsidR="00577500">
        <w:rPr>
          <w:rFonts w:ascii="Arial" w:hAnsi="Arial" w:cs="Arial"/>
        </w:rPr>
        <w:t>p</w:t>
      </w:r>
      <w:r w:rsidRPr="003F5885">
        <w:rPr>
          <w:rFonts w:ascii="Arial" w:hAnsi="Arial" w:cs="Arial"/>
        </w:rPr>
        <w:t xml:space="preserve">riorizadas. </w:t>
      </w:r>
      <w:r w:rsidR="001D2F4E">
        <w:rPr>
          <w:rFonts w:ascii="Arial" w:hAnsi="Arial" w:cs="Arial"/>
        </w:rPr>
        <w:t>S</w:t>
      </w:r>
      <w:r w:rsidR="000F0BDB">
        <w:rPr>
          <w:rFonts w:ascii="Arial" w:hAnsi="Arial" w:cs="Arial"/>
        </w:rPr>
        <w:t>e destaca</w:t>
      </w:r>
      <w:r w:rsidR="0031085D">
        <w:rPr>
          <w:rFonts w:ascii="Arial" w:hAnsi="Arial" w:cs="Arial"/>
        </w:rPr>
        <w:t xml:space="preserve"> el tratamiento de</w:t>
      </w:r>
      <w:r w:rsidR="00F023C7">
        <w:rPr>
          <w:rFonts w:ascii="Arial" w:hAnsi="Arial" w:cs="Arial"/>
        </w:rPr>
        <w:t xml:space="preserve">: </w:t>
      </w:r>
      <w:r w:rsidR="0031085D">
        <w:rPr>
          <w:rFonts w:ascii="Arial" w:hAnsi="Arial" w:cs="Arial"/>
        </w:rPr>
        <w:t>los derechos de</w:t>
      </w:r>
      <w:r w:rsidR="000F0BDB" w:rsidRPr="00486654">
        <w:rPr>
          <w:rFonts w:ascii="Arial" w:hAnsi="Arial" w:cs="Arial"/>
          <w:lang w:val="es-PY"/>
        </w:rPr>
        <w:t xml:space="preserve"> niños, niñas, adolescentes y jóvenes</w:t>
      </w:r>
      <w:r w:rsidR="000F0BDB">
        <w:rPr>
          <w:rFonts w:ascii="Arial" w:hAnsi="Arial" w:cs="Arial"/>
          <w:lang w:val="es-PY"/>
        </w:rPr>
        <w:t xml:space="preserve">; </w:t>
      </w:r>
      <w:r w:rsidR="0031085D">
        <w:rPr>
          <w:rFonts w:ascii="Arial" w:hAnsi="Arial" w:cs="Arial"/>
          <w:lang w:val="es-PY"/>
        </w:rPr>
        <w:t xml:space="preserve">el </w:t>
      </w:r>
      <w:r w:rsidR="00745B9D">
        <w:rPr>
          <w:rFonts w:ascii="Arial" w:hAnsi="Arial" w:cs="Arial"/>
          <w:lang w:val="es-PY"/>
        </w:rPr>
        <w:t>e</w:t>
      </w:r>
      <w:r w:rsidR="000F0BDB" w:rsidRPr="00486654">
        <w:rPr>
          <w:rFonts w:ascii="Arial" w:hAnsi="Arial" w:cs="Arial"/>
          <w:lang w:val="es-PY"/>
        </w:rPr>
        <w:t>nvejecimiento, protección social y desafíos socioeconómicos</w:t>
      </w:r>
      <w:r w:rsidR="000F0BDB">
        <w:rPr>
          <w:rFonts w:ascii="Arial" w:hAnsi="Arial" w:cs="Arial"/>
          <w:lang w:val="es-PY"/>
        </w:rPr>
        <w:t xml:space="preserve">; </w:t>
      </w:r>
      <w:r w:rsidR="0031085D">
        <w:rPr>
          <w:rFonts w:ascii="Arial" w:hAnsi="Arial" w:cs="Arial"/>
          <w:lang w:val="es-PY"/>
        </w:rPr>
        <w:t>el</w:t>
      </w:r>
      <w:r w:rsidR="000F0BDB">
        <w:rPr>
          <w:rFonts w:ascii="Arial" w:hAnsi="Arial" w:cs="Arial"/>
          <w:lang w:val="es-PY"/>
        </w:rPr>
        <w:t xml:space="preserve"> </w:t>
      </w:r>
      <w:r w:rsidR="0031085D">
        <w:rPr>
          <w:rFonts w:ascii="Arial" w:hAnsi="Arial" w:cs="Arial"/>
          <w:lang w:val="es-PY"/>
        </w:rPr>
        <w:t>a</w:t>
      </w:r>
      <w:r w:rsidR="000F0BDB" w:rsidRPr="00486654">
        <w:rPr>
          <w:rFonts w:ascii="Arial" w:hAnsi="Arial" w:cs="Arial"/>
          <w:lang w:val="es-PY"/>
        </w:rPr>
        <w:t>cceso universal a los servicios de salud sexual y reproductiva</w:t>
      </w:r>
      <w:r w:rsidR="000F0BDB">
        <w:rPr>
          <w:rFonts w:ascii="Arial" w:hAnsi="Arial" w:cs="Arial"/>
          <w:lang w:val="es-PY"/>
        </w:rPr>
        <w:t xml:space="preserve">; </w:t>
      </w:r>
      <w:r w:rsidR="0031085D">
        <w:rPr>
          <w:rFonts w:ascii="Arial" w:hAnsi="Arial" w:cs="Arial"/>
          <w:lang w:val="es-PY"/>
        </w:rPr>
        <w:t>la i</w:t>
      </w:r>
      <w:r w:rsidR="000F0BDB" w:rsidRPr="00486654">
        <w:rPr>
          <w:rFonts w:ascii="Arial" w:hAnsi="Arial" w:cs="Arial"/>
          <w:lang w:val="es-PY"/>
        </w:rPr>
        <w:t>gualdad de género</w:t>
      </w:r>
      <w:r w:rsidR="000F0BDB">
        <w:rPr>
          <w:rFonts w:ascii="Arial" w:hAnsi="Arial" w:cs="Arial"/>
          <w:lang w:val="es-PY"/>
        </w:rPr>
        <w:t xml:space="preserve">; </w:t>
      </w:r>
      <w:r w:rsidR="0031085D">
        <w:rPr>
          <w:rFonts w:ascii="Arial" w:hAnsi="Arial" w:cs="Arial"/>
          <w:lang w:val="es-PY"/>
        </w:rPr>
        <w:t>la m</w:t>
      </w:r>
      <w:r w:rsidR="000F0BDB" w:rsidRPr="00486654">
        <w:rPr>
          <w:rFonts w:ascii="Arial" w:hAnsi="Arial" w:cs="Arial"/>
          <w:lang w:val="es-PY"/>
        </w:rPr>
        <w:t>igración internacional y derechos de personas migrantes</w:t>
      </w:r>
      <w:r w:rsidR="000F0BDB">
        <w:rPr>
          <w:rFonts w:ascii="Arial" w:hAnsi="Arial" w:cs="Arial"/>
          <w:lang w:val="es-PY"/>
        </w:rPr>
        <w:t xml:space="preserve">; </w:t>
      </w:r>
      <w:r w:rsidR="0031085D">
        <w:rPr>
          <w:rFonts w:ascii="Arial" w:hAnsi="Arial" w:cs="Arial"/>
          <w:lang w:val="es-PY"/>
        </w:rPr>
        <w:t xml:space="preserve">el tratamiento de </w:t>
      </w:r>
      <w:r w:rsidR="000F0BDB" w:rsidRPr="00486654">
        <w:rPr>
          <w:rFonts w:ascii="Arial" w:hAnsi="Arial" w:cs="Arial"/>
          <w:lang w:val="es-PY"/>
        </w:rPr>
        <w:t>la desigualdad territorial, movilidad espacial y vulnerabilidad ambiental</w:t>
      </w:r>
      <w:r w:rsidR="000F0BDB">
        <w:rPr>
          <w:rFonts w:ascii="Arial" w:hAnsi="Arial" w:cs="Arial"/>
          <w:lang w:val="es-PY"/>
        </w:rPr>
        <w:t xml:space="preserve">; </w:t>
      </w:r>
      <w:r w:rsidR="0031085D">
        <w:rPr>
          <w:rFonts w:ascii="Arial" w:hAnsi="Arial" w:cs="Arial"/>
          <w:lang w:val="es-PY"/>
        </w:rPr>
        <w:t>los p</w:t>
      </w:r>
      <w:r w:rsidR="000F0BDB" w:rsidRPr="00486654">
        <w:rPr>
          <w:rFonts w:ascii="Arial" w:hAnsi="Arial" w:cs="Arial"/>
          <w:lang w:val="es-PY"/>
        </w:rPr>
        <w:t>ueblos indígenas, interculturalidad</w:t>
      </w:r>
      <w:r w:rsidR="000F0BDB">
        <w:rPr>
          <w:rFonts w:ascii="Arial" w:hAnsi="Arial" w:cs="Arial"/>
          <w:lang w:val="es-PY"/>
        </w:rPr>
        <w:t xml:space="preserve">; </w:t>
      </w:r>
      <w:r w:rsidR="0031085D">
        <w:rPr>
          <w:rFonts w:ascii="Arial" w:hAnsi="Arial" w:cs="Arial"/>
          <w:lang w:val="es-PY"/>
        </w:rPr>
        <w:t>a</w:t>
      </w:r>
      <w:r w:rsidR="000F0BDB" w:rsidRPr="00486654">
        <w:rPr>
          <w:rFonts w:ascii="Arial" w:hAnsi="Arial" w:cs="Arial"/>
          <w:lang w:val="es-PY"/>
        </w:rPr>
        <w:t>frodescendientes</w:t>
      </w:r>
      <w:r w:rsidR="0031085D">
        <w:rPr>
          <w:rFonts w:ascii="Arial" w:hAnsi="Arial" w:cs="Arial"/>
          <w:lang w:val="es-PY"/>
        </w:rPr>
        <w:t xml:space="preserve"> </w:t>
      </w:r>
      <w:r w:rsidR="000F0BDB" w:rsidRPr="00486654">
        <w:rPr>
          <w:rFonts w:ascii="Arial" w:hAnsi="Arial" w:cs="Arial"/>
          <w:lang w:val="es-PY"/>
        </w:rPr>
        <w:t>y combate a</w:t>
      </w:r>
      <w:r w:rsidR="0031085D">
        <w:rPr>
          <w:rFonts w:ascii="Arial" w:hAnsi="Arial" w:cs="Arial"/>
          <w:lang w:val="es-PY"/>
        </w:rPr>
        <w:t xml:space="preserve"> </w:t>
      </w:r>
      <w:r w:rsidR="000F0BDB" w:rsidRPr="00486654">
        <w:rPr>
          <w:rFonts w:ascii="Arial" w:hAnsi="Arial" w:cs="Arial"/>
          <w:lang w:val="es-PY"/>
        </w:rPr>
        <w:t>la discriminación racial</w:t>
      </w:r>
      <w:r w:rsidR="000F0BDB">
        <w:rPr>
          <w:rFonts w:ascii="Arial" w:hAnsi="Arial" w:cs="Arial"/>
          <w:lang w:val="es-PY"/>
        </w:rPr>
        <w:t>.</w:t>
      </w:r>
      <w:r w:rsidR="000F0BDB" w:rsidRPr="000F0BDB">
        <w:rPr>
          <w:rFonts w:ascii="Arial" w:hAnsi="Arial" w:cs="Arial"/>
        </w:rPr>
        <w:t xml:space="preserve"> </w:t>
      </w:r>
      <w:r w:rsidR="000F0BDB" w:rsidRPr="00201D7E">
        <w:rPr>
          <w:rFonts w:ascii="Arial" w:hAnsi="Arial" w:cs="Arial"/>
        </w:rPr>
        <w:t xml:space="preserve">Cada país </w:t>
      </w:r>
      <w:r w:rsidR="0031085D">
        <w:rPr>
          <w:rFonts w:ascii="Arial" w:hAnsi="Arial" w:cs="Arial"/>
        </w:rPr>
        <w:t xml:space="preserve">es responsable </w:t>
      </w:r>
      <w:r w:rsidR="000F0BDB" w:rsidRPr="00201D7E">
        <w:rPr>
          <w:rFonts w:ascii="Arial" w:hAnsi="Arial" w:cs="Arial"/>
        </w:rPr>
        <w:t xml:space="preserve">de implementar las recomendaciones del Consenso, de acuerdo con su propio marco jurídico y sus prioridades </w:t>
      </w:r>
      <w:r w:rsidR="000F0BDB" w:rsidRPr="00AD204C">
        <w:rPr>
          <w:rFonts w:ascii="Arial" w:hAnsi="Arial" w:cs="Arial"/>
        </w:rPr>
        <w:t>nacional</w:t>
      </w:r>
      <w:r w:rsidR="0031085D">
        <w:rPr>
          <w:rFonts w:ascii="Arial" w:hAnsi="Arial" w:cs="Arial"/>
        </w:rPr>
        <w:t>es</w:t>
      </w:r>
      <w:r w:rsidR="000F0BDB" w:rsidRPr="00AD204C">
        <w:rPr>
          <w:rFonts w:ascii="Arial" w:hAnsi="Arial" w:cs="Arial"/>
        </w:rPr>
        <w:t>.</w:t>
      </w:r>
      <w:r w:rsidR="008F5936">
        <w:rPr>
          <w:rFonts w:ascii="Arial" w:hAnsi="Arial" w:cs="Arial"/>
        </w:rPr>
        <w:t xml:space="preserve"> </w:t>
      </w:r>
    </w:p>
    <w:p w14:paraId="1D7F2AA5" w14:textId="37E6F5EC" w:rsidR="002A5B8B" w:rsidRDefault="002A5B8B" w:rsidP="00577500">
      <w:pPr>
        <w:jc w:val="both"/>
        <w:rPr>
          <w:rFonts w:ascii="Arial" w:hAnsi="Arial" w:cs="Arial"/>
        </w:rPr>
      </w:pPr>
      <w:r w:rsidRPr="00E064B5">
        <w:rPr>
          <w:rFonts w:ascii="Arial" w:hAnsi="Arial" w:cs="Arial"/>
          <w:noProof/>
          <w:lang w:val="es-PY" w:eastAsia="es-PY"/>
        </w:rPr>
        <w:drawing>
          <wp:inline distT="0" distB="0" distL="0" distR="0" wp14:anchorId="3275301C" wp14:editId="54C35FB0">
            <wp:extent cx="5399763" cy="53149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7200" cy="5322271"/>
                    </a:xfrm>
                    <a:prstGeom prst="rect">
                      <a:avLst/>
                    </a:prstGeom>
                    <a:noFill/>
                    <a:ln>
                      <a:noFill/>
                    </a:ln>
                  </pic:spPr>
                </pic:pic>
              </a:graphicData>
            </a:graphic>
          </wp:inline>
        </w:drawing>
      </w:r>
    </w:p>
    <w:p w14:paraId="2EA355F1" w14:textId="77777777" w:rsidR="0059336B" w:rsidRDefault="0059336B" w:rsidP="00577500">
      <w:pPr>
        <w:jc w:val="both"/>
        <w:rPr>
          <w:rFonts w:ascii="Arial" w:hAnsi="Arial" w:cs="Arial"/>
        </w:rPr>
      </w:pPr>
    </w:p>
    <w:p w14:paraId="6B98B765" w14:textId="4BD3ED17" w:rsidR="009C3094" w:rsidRDefault="009C3094" w:rsidP="00577500">
      <w:pPr>
        <w:jc w:val="both"/>
        <w:rPr>
          <w:rFonts w:ascii="Arial" w:hAnsi="Arial" w:cs="Arial"/>
          <w:lang w:val="es-MX"/>
        </w:rPr>
      </w:pPr>
      <w:r w:rsidRPr="00577500">
        <w:rPr>
          <w:rFonts w:ascii="Arial" w:hAnsi="Arial" w:cs="Arial"/>
          <w:lang w:val="es-MX"/>
        </w:rPr>
        <w:lastRenderedPageBreak/>
        <w:t xml:space="preserve">Finalmente, en el ámbito de Naciones Unidas, a partir de enero de 2016 </w:t>
      </w:r>
      <w:r w:rsidR="00CE261D" w:rsidRPr="00577500">
        <w:rPr>
          <w:rFonts w:ascii="Arial" w:hAnsi="Arial" w:cs="Arial"/>
          <w:lang w:val="es-MX"/>
        </w:rPr>
        <w:t>com</w:t>
      </w:r>
      <w:r w:rsidR="00CE261D">
        <w:rPr>
          <w:rFonts w:ascii="Arial" w:hAnsi="Arial" w:cs="Arial"/>
          <w:lang w:val="es-MX"/>
        </w:rPr>
        <w:t>enzó</w:t>
      </w:r>
      <w:r w:rsidR="00CE261D" w:rsidRPr="00577500">
        <w:rPr>
          <w:rFonts w:ascii="Arial" w:hAnsi="Arial" w:cs="Arial"/>
          <w:lang w:val="es-MX"/>
        </w:rPr>
        <w:t xml:space="preserve"> </w:t>
      </w:r>
      <w:r w:rsidRPr="00577500">
        <w:rPr>
          <w:rFonts w:ascii="Arial" w:hAnsi="Arial" w:cs="Arial"/>
          <w:lang w:val="es-MX"/>
        </w:rPr>
        <w:t xml:space="preserve">a implementarse la </w:t>
      </w:r>
      <w:r w:rsidRPr="00CE261D">
        <w:rPr>
          <w:rFonts w:ascii="Arial" w:hAnsi="Arial" w:cs="Arial"/>
          <w:lang w:val="es-MX"/>
        </w:rPr>
        <w:t>Agenda 2030 para el Desarrollo Sostenible</w:t>
      </w:r>
      <w:r w:rsidRPr="00577500">
        <w:rPr>
          <w:rFonts w:ascii="Arial" w:hAnsi="Arial" w:cs="Arial"/>
          <w:lang w:val="es-MX"/>
        </w:rPr>
        <w:t>. Esta Agenda sustituye a la de Objetivos de Desarrollo del Milenio (ODM, 2000-2015), con objetivos ampliados en el campo del desarrollo económico, socia</w:t>
      </w:r>
      <w:r w:rsidR="003016CE">
        <w:rPr>
          <w:rFonts w:ascii="Arial" w:hAnsi="Arial" w:cs="Arial"/>
          <w:lang w:val="es-MX"/>
        </w:rPr>
        <w:t xml:space="preserve">l y ambiental de las personas. </w:t>
      </w:r>
      <w:r w:rsidRPr="00577500">
        <w:rPr>
          <w:rFonts w:ascii="Arial" w:hAnsi="Arial" w:cs="Arial"/>
          <w:lang w:val="es-MX"/>
        </w:rPr>
        <w:t>La nueva Agenda ofrece un marco de indicadores mundiales para el seguimiento de 17 Objetivos e identifica 229 indicadores de resultados. Esta matriz de indicadores ha sido seleccionada por un grupo de trabajo integrado por representantes de los institutos de estadísticas de los países</w:t>
      </w:r>
      <w:r w:rsidR="0059336B">
        <w:rPr>
          <w:rFonts w:ascii="Arial" w:hAnsi="Arial" w:cs="Arial"/>
          <w:lang w:val="es-MX"/>
        </w:rPr>
        <w:t xml:space="preserve">. </w:t>
      </w:r>
      <w:r w:rsidRPr="00A86F21">
        <w:rPr>
          <w:rFonts w:ascii="Arial" w:hAnsi="Arial" w:cs="Arial"/>
          <w:lang w:val="es-MX"/>
        </w:rPr>
        <w:t xml:space="preserve">Los </w:t>
      </w:r>
      <w:r w:rsidR="00CE261D">
        <w:rPr>
          <w:rFonts w:ascii="Arial" w:hAnsi="Arial" w:cs="Arial"/>
          <w:lang w:val="es-MX"/>
        </w:rPr>
        <w:t>E</w:t>
      </w:r>
      <w:r w:rsidRPr="00A86F21">
        <w:rPr>
          <w:rFonts w:ascii="Arial" w:hAnsi="Arial" w:cs="Arial"/>
          <w:lang w:val="es-MX"/>
        </w:rPr>
        <w:t>stados miembros de ONU se comprometen a realizar un seguimiento y examen sistemático del cumplimiento de la Agenda 2030 en los planos nacional, regional y mundial</w:t>
      </w:r>
      <w:r w:rsidR="001B30B5" w:rsidRPr="00F0232B">
        <w:rPr>
          <w:rFonts w:ascii="Arial" w:hAnsi="Arial" w:cs="Arial"/>
          <w:lang w:val="es-MX"/>
        </w:rPr>
        <w:t xml:space="preserve">. </w:t>
      </w:r>
      <w:r w:rsidRPr="00201D7E">
        <w:rPr>
          <w:rFonts w:ascii="Arial" w:hAnsi="Arial" w:cs="Arial"/>
          <w:lang w:val="es-MX"/>
        </w:rPr>
        <w:t xml:space="preserve">También a realizar un esfuerzo para apoyar el fortalecimiento de las capacidades estadísticas y de desarrollo institucional, en particular para con los países en desarrollo. </w:t>
      </w:r>
    </w:p>
    <w:p w14:paraId="1C3B77DB" w14:textId="6BD15B97" w:rsidR="0059336B" w:rsidRPr="00201D7E" w:rsidRDefault="0059336B" w:rsidP="00577500">
      <w:pPr>
        <w:jc w:val="both"/>
        <w:rPr>
          <w:rFonts w:ascii="Arial" w:hAnsi="Arial" w:cs="Arial"/>
          <w:lang w:val="es-MX"/>
        </w:rPr>
      </w:pPr>
      <w:r w:rsidRPr="00E064B5">
        <w:rPr>
          <w:rFonts w:ascii="Arial" w:hAnsi="Arial" w:cs="Arial"/>
          <w:noProof/>
          <w:lang w:val="es-PY" w:eastAsia="es-PY"/>
        </w:rPr>
        <w:drawing>
          <wp:inline distT="0" distB="0" distL="0" distR="0" wp14:anchorId="59B394B5" wp14:editId="08523304">
            <wp:extent cx="5400040" cy="4605737"/>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400040" cy="4605737"/>
                    </a:xfrm>
                    <a:prstGeom prst="rect">
                      <a:avLst/>
                    </a:prstGeom>
                    <a:noFill/>
                    <a:ln w="9525">
                      <a:noFill/>
                      <a:miter lim="800000"/>
                      <a:headEnd/>
                      <a:tailEnd/>
                    </a:ln>
                  </pic:spPr>
                </pic:pic>
              </a:graphicData>
            </a:graphic>
          </wp:inline>
        </w:drawing>
      </w:r>
    </w:p>
    <w:p w14:paraId="08EF6103" w14:textId="7B657B91" w:rsidR="001259C9" w:rsidRPr="00E32E3E" w:rsidRDefault="001259C9" w:rsidP="001259C9">
      <w:pPr>
        <w:jc w:val="both"/>
        <w:rPr>
          <w:rFonts w:ascii="Arial" w:hAnsi="Arial" w:cs="Arial"/>
          <w:lang w:val="es-ES_tradnl"/>
        </w:rPr>
      </w:pPr>
      <w:r w:rsidRPr="001259C9">
        <w:rPr>
          <w:rFonts w:ascii="Arial" w:hAnsi="Arial" w:cs="Arial"/>
          <w:lang w:val="es-ES_tradnl"/>
        </w:rPr>
        <w:t xml:space="preserve">Para </w:t>
      </w:r>
      <w:r>
        <w:rPr>
          <w:rFonts w:ascii="Arial" w:hAnsi="Arial" w:cs="Arial"/>
          <w:lang w:val="es-ES_tradnl"/>
        </w:rPr>
        <w:t xml:space="preserve">ejecutar </w:t>
      </w:r>
      <w:r w:rsidRPr="001259C9">
        <w:rPr>
          <w:rFonts w:ascii="Arial" w:hAnsi="Arial" w:cs="Arial"/>
          <w:lang w:val="es-ES_tradnl"/>
        </w:rPr>
        <w:t xml:space="preserve">las acciones </w:t>
      </w:r>
      <w:r>
        <w:rPr>
          <w:rFonts w:ascii="Arial" w:hAnsi="Arial" w:cs="Arial"/>
          <w:lang w:val="es-ES_tradnl"/>
        </w:rPr>
        <w:t>que permitan la consecución de las metas fijadas en los ODS</w:t>
      </w:r>
      <w:r w:rsidRPr="001259C9">
        <w:rPr>
          <w:rFonts w:ascii="Arial" w:hAnsi="Arial" w:cs="Arial"/>
          <w:lang w:val="es-ES_tradnl"/>
        </w:rPr>
        <w:t xml:space="preserve"> es necesario</w:t>
      </w:r>
      <w:r w:rsidR="00816425">
        <w:rPr>
          <w:rFonts w:ascii="Arial" w:hAnsi="Arial" w:cs="Arial"/>
          <w:lang w:val="es-ES_tradnl"/>
        </w:rPr>
        <w:t xml:space="preserve">, en primer lugar, que los hacedores de políticas públicas sectoriales conozcan y comprendan alcance y metas de cada uno de los objetivos y, al mismo tiempo, que puedan </w:t>
      </w:r>
      <w:r w:rsidRPr="001259C9">
        <w:rPr>
          <w:rFonts w:ascii="Arial" w:hAnsi="Arial" w:cs="Arial"/>
          <w:lang w:val="es-ES_tradnl"/>
        </w:rPr>
        <w:t>contar con un rápido acceso a información estadística actualizada que permita caracterizar la</w:t>
      </w:r>
      <w:r>
        <w:rPr>
          <w:rFonts w:ascii="Arial" w:hAnsi="Arial" w:cs="Arial"/>
          <w:lang w:val="es-ES_tradnl"/>
        </w:rPr>
        <w:t>s diferentes</w:t>
      </w:r>
      <w:r w:rsidRPr="001259C9">
        <w:rPr>
          <w:rFonts w:ascii="Arial" w:hAnsi="Arial" w:cs="Arial"/>
          <w:lang w:val="es-ES_tradnl"/>
        </w:rPr>
        <w:t xml:space="preserve"> realidad</w:t>
      </w:r>
      <w:r>
        <w:rPr>
          <w:rFonts w:ascii="Arial" w:hAnsi="Arial" w:cs="Arial"/>
          <w:lang w:val="es-ES_tradnl"/>
        </w:rPr>
        <w:t>es de nuestros países y</w:t>
      </w:r>
      <w:r w:rsidRPr="001259C9">
        <w:rPr>
          <w:rFonts w:ascii="Arial" w:hAnsi="Arial" w:cs="Arial"/>
          <w:lang w:val="es-ES_tradnl"/>
        </w:rPr>
        <w:t xml:space="preserve"> territori</w:t>
      </w:r>
      <w:r>
        <w:rPr>
          <w:rFonts w:ascii="Arial" w:hAnsi="Arial" w:cs="Arial"/>
          <w:lang w:val="es-ES_tradnl"/>
        </w:rPr>
        <w:t>os</w:t>
      </w:r>
      <w:r w:rsidR="007A768B">
        <w:rPr>
          <w:rFonts w:ascii="Arial" w:hAnsi="Arial" w:cs="Arial"/>
          <w:lang w:val="es-ES_tradnl"/>
        </w:rPr>
        <w:t xml:space="preserve"> con la suficiente desagregación</w:t>
      </w:r>
      <w:r w:rsidRPr="001259C9">
        <w:rPr>
          <w:rFonts w:ascii="Arial" w:hAnsi="Arial" w:cs="Arial"/>
          <w:lang w:val="es-ES_tradnl"/>
        </w:rPr>
        <w:t xml:space="preserve">. Los gobiernos juegan un papel relevante no solamente en la recolección de información sino también en la definición analítica de los procesos que deberán ser llevados a cabo para convertir la información en acciones operativas que permitan alcanzar los resultados deseados. </w:t>
      </w:r>
      <w:r w:rsidR="007A768B" w:rsidRPr="00201D7E">
        <w:rPr>
          <w:rFonts w:ascii="Arial" w:hAnsi="Arial" w:cs="Arial"/>
          <w:lang w:val="es-MX"/>
        </w:rPr>
        <w:t xml:space="preserve">Un principio relevante de este plan consiste </w:t>
      </w:r>
      <w:r w:rsidR="007A768B" w:rsidRPr="00201D7E">
        <w:rPr>
          <w:rFonts w:ascii="Arial" w:hAnsi="Arial" w:cs="Arial"/>
          <w:lang w:val="es-MX"/>
        </w:rPr>
        <w:lastRenderedPageBreak/>
        <w:t>en “garantizar que nadie se quede atrás”, para lo cual es fundamental convocar la cooperación entre los países para promover el cumplimiento de los ODS en su totalidad</w:t>
      </w:r>
      <w:r w:rsidR="007A768B">
        <w:rPr>
          <w:rFonts w:ascii="Arial" w:hAnsi="Arial" w:cs="Arial"/>
          <w:lang w:val="es-MX"/>
        </w:rPr>
        <w:t>; por lo que es urgente</w:t>
      </w:r>
      <w:r w:rsidR="004859EC">
        <w:rPr>
          <w:rFonts w:ascii="Arial" w:hAnsi="Arial" w:cs="Arial"/>
          <w:lang w:val="es-MX"/>
        </w:rPr>
        <w:t xml:space="preserve"> </w:t>
      </w:r>
      <w:r w:rsidRPr="001259C9">
        <w:rPr>
          <w:rFonts w:ascii="Arial" w:hAnsi="Arial" w:cs="Arial"/>
          <w:lang w:val="es-ES_tradnl"/>
        </w:rPr>
        <w:t xml:space="preserve">generar formas innovadoras de cooperación y asociación para </w:t>
      </w:r>
      <w:r>
        <w:rPr>
          <w:rFonts w:ascii="Arial" w:hAnsi="Arial" w:cs="Arial"/>
          <w:lang w:val="es-ES_tradnl"/>
        </w:rPr>
        <w:t>desarrollar los esquemas de</w:t>
      </w:r>
      <w:r w:rsidRPr="001259C9">
        <w:rPr>
          <w:rFonts w:ascii="Arial" w:hAnsi="Arial" w:cs="Arial"/>
          <w:lang w:val="es-ES_tradnl"/>
        </w:rPr>
        <w:t xml:space="preserve"> financiamiento </w:t>
      </w:r>
      <w:r>
        <w:rPr>
          <w:rFonts w:ascii="Arial" w:hAnsi="Arial" w:cs="Arial"/>
          <w:lang w:val="es-ES_tradnl"/>
        </w:rPr>
        <w:t xml:space="preserve">oportunos, y que sean lo suficientemente </w:t>
      </w:r>
      <w:r w:rsidRPr="001259C9">
        <w:rPr>
          <w:rFonts w:ascii="Arial" w:hAnsi="Arial" w:cs="Arial"/>
          <w:lang w:val="es-ES_tradnl"/>
        </w:rPr>
        <w:t>inclusivo</w:t>
      </w:r>
      <w:r>
        <w:rPr>
          <w:rFonts w:ascii="Arial" w:hAnsi="Arial" w:cs="Arial"/>
          <w:lang w:val="es-ES_tradnl"/>
        </w:rPr>
        <w:t xml:space="preserve">s, como para garantizar un enfoque multiactor en la construcción de un </w:t>
      </w:r>
      <w:r w:rsidRPr="00E32E3E">
        <w:rPr>
          <w:rFonts w:ascii="Arial" w:hAnsi="Arial" w:cs="Arial"/>
          <w:lang w:val="es-ES_tradnl"/>
        </w:rPr>
        <w:t>desarrollo de carácter holístico.</w:t>
      </w:r>
      <w:r w:rsidR="00CC34BC" w:rsidRPr="00E32E3E">
        <w:rPr>
          <w:rFonts w:ascii="Arial" w:hAnsi="Arial" w:cs="Arial"/>
          <w:lang w:val="es-ES_tradnl"/>
        </w:rPr>
        <w:t xml:space="preserve"> </w:t>
      </w:r>
    </w:p>
    <w:p w14:paraId="734AE0C3" w14:textId="594A0150" w:rsidR="008F5936" w:rsidRPr="00E064B5" w:rsidRDefault="0031085D" w:rsidP="00E064B5">
      <w:pPr>
        <w:jc w:val="both"/>
        <w:rPr>
          <w:rFonts w:ascii="Arial" w:hAnsi="Arial" w:cs="Arial"/>
          <w:lang w:val="es-ES_tradnl"/>
        </w:rPr>
      </w:pPr>
      <w:r w:rsidRPr="00E32E3E">
        <w:rPr>
          <w:rFonts w:ascii="Arial" w:hAnsi="Arial" w:cs="Arial"/>
          <w:lang w:val="es-ES_tradnl"/>
        </w:rPr>
        <w:t xml:space="preserve">En tal dirección, uno de los riesgos más grandes que enfrenta la implementación de </w:t>
      </w:r>
      <w:r w:rsidR="00F023C7" w:rsidRPr="00E32E3E">
        <w:rPr>
          <w:rFonts w:ascii="Arial" w:hAnsi="Arial" w:cs="Arial"/>
          <w:lang w:val="es-ES_tradnl"/>
        </w:rPr>
        <w:t xml:space="preserve">las </w:t>
      </w:r>
      <w:r w:rsidRPr="00E32E3E">
        <w:rPr>
          <w:rFonts w:ascii="Arial" w:hAnsi="Arial" w:cs="Arial"/>
          <w:lang w:val="es-ES_tradnl"/>
        </w:rPr>
        <w:t>agendas del desarrollo</w:t>
      </w:r>
      <w:r w:rsidR="00F023C7" w:rsidRPr="00E32E3E">
        <w:rPr>
          <w:rFonts w:ascii="Arial" w:hAnsi="Arial" w:cs="Arial"/>
          <w:lang w:val="es-ES_tradnl"/>
        </w:rPr>
        <w:t>,</w:t>
      </w:r>
      <w:r w:rsidRPr="00E32E3E">
        <w:rPr>
          <w:rFonts w:ascii="Arial" w:hAnsi="Arial" w:cs="Arial"/>
          <w:lang w:val="es-ES_tradnl"/>
        </w:rPr>
        <w:t xml:space="preserve"> como la de</w:t>
      </w:r>
      <w:r w:rsidR="00E32E3E" w:rsidRPr="00E32E3E">
        <w:rPr>
          <w:rFonts w:ascii="Arial" w:hAnsi="Arial" w:cs="Arial"/>
          <w:lang w:val="es-ES_tradnl"/>
        </w:rPr>
        <w:t xml:space="preserve"> los</w:t>
      </w:r>
      <w:r w:rsidRPr="00E32E3E">
        <w:rPr>
          <w:rFonts w:ascii="Arial" w:hAnsi="Arial" w:cs="Arial"/>
          <w:lang w:val="es-ES_tradnl"/>
        </w:rPr>
        <w:t xml:space="preserve"> ODS</w:t>
      </w:r>
      <w:r w:rsidR="00F023C7" w:rsidRPr="00E32E3E">
        <w:rPr>
          <w:rFonts w:ascii="Arial" w:hAnsi="Arial" w:cs="Arial"/>
          <w:lang w:val="es-ES_tradnl"/>
        </w:rPr>
        <w:t>,</w:t>
      </w:r>
      <w:r w:rsidRPr="00E32E3E">
        <w:rPr>
          <w:rFonts w:ascii="Arial" w:hAnsi="Arial" w:cs="Arial"/>
          <w:lang w:val="es-ES_tradnl"/>
        </w:rPr>
        <w:t xml:space="preserve"> es el de </w:t>
      </w:r>
      <w:r w:rsidR="00E32E3E" w:rsidRPr="00E32E3E">
        <w:rPr>
          <w:rFonts w:ascii="Arial" w:hAnsi="Arial" w:cs="Arial"/>
          <w:lang w:val="es-ES_tradnl"/>
        </w:rPr>
        <w:t xml:space="preserve">la </w:t>
      </w:r>
      <w:r w:rsidRPr="00E32E3E">
        <w:rPr>
          <w:rFonts w:ascii="Arial" w:hAnsi="Arial" w:cs="Arial"/>
          <w:lang w:val="es-ES_tradnl"/>
        </w:rPr>
        <w:t>“</w:t>
      </w:r>
      <w:r w:rsidR="001259C9" w:rsidRPr="00E32E3E">
        <w:rPr>
          <w:rFonts w:ascii="Arial" w:hAnsi="Arial" w:cs="Arial"/>
          <w:lang w:val="es-ES_tradnl"/>
        </w:rPr>
        <w:t>evaporación política</w:t>
      </w:r>
      <w:r w:rsidRPr="00E32E3E">
        <w:rPr>
          <w:rFonts w:ascii="Arial" w:hAnsi="Arial" w:cs="Arial"/>
          <w:lang w:val="es-ES_tradnl"/>
        </w:rPr>
        <w:t>”</w:t>
      </w:r>
      <w:r w:rsidR="001259C9" w:rsidRPr="00E32E3E">
        <w:rPr>
          <w:rFonts w:ascii="Arial" w:hAnsi="Arial" w:cs="Arial"/>
          <w:lang w:val="es-ES_tradnl"/>
        </w:rPr>
        <w:t xml:space="preserve">. </w:t>
      </w:r>
      <w:r w:rsidRPr="00E32E3E">
        <w:rPr>
          <w:rFonts w:ascii="Arial" w:hAnsi="Arial" w:cs="Arial"/>
          <w:lang w:val="es-ES_tradnl"/>
        </w:rPr>
        <w:t xml:space="preserve">Según </w:t>
      </w:r>
      <w:r w:rsidR="001259C9" w:rsidRPr="00E32E3E">
        <w:rPr>
          <w:rFonts w:ascii="Arial" w:hAnsi="Arial" w:cs="Arial"/>
          <w:lang w:val="es-ES_tradnl"/>
        </w:rPr>
        <w:t>Dearden (2008</w:t>
      </w:r>
      <w:r w:rsidRPr="00E32E3E">
        <w:rPr>
          <w:rFonts w:ascii="Arial" w:hAnsi="Arial" w:cs="Arial"/>
          <w:lang w:val="es-ES_tradnl"/>
        </w:rPr>
        <w:t>: 188</w:t>
      </w:r>
      <w:r w:rsidR="001259C9" w:rsidRPr="00E32E3E">
        <w:rPr>
          <w:rFonts w:ascii="Arial" w:hAnsi="Arial" w:cs="Arial"/>
          <w:lang w:val="es-ES_tradnl"/>
        </w:rPr>
        <w:t xml:space="preserve">), </w:t>
      </w:r>
      <w:r w:rsidRPr="00E32E3E">
        <w:rPr>
          <w:rFonts w:ascii="Arial" w:hAnsi="Arial" w:cs="Arial"/>
          <w:lang w:val="es-ES_tradnl"/>
        </w:rPr>
        <w:t xml:space="preserve">la </w:t>
      </w:r>
      <w:r w:rsidR="001259C9" w:rsidRPr="00E32E3E">
        <w:rPr>
          <w:rFonts w:ascii="Arial" w:hAnsi="Arial" w:cs="Arial"/>
          <w:lang w:val="es-ES_tradnl"/>
        </w:rPr>
        <w:t>evaporación política</w:t>
      </w:r>
      <w:r w:rsidRPr="00E32E3E">
        <w:rPr>
          <w:rFonts w:ascii="Arial" w:hAnsi="Arial" w:cs="Arial"/>
          <w:lang w:val="es-ES_tradnl"/>
        </w:rPr>
        <w:t xml:space="preserve"> ocurre cuando las buenas intenciones no logran plasmarse en acciones de política </w:t>
      </w:r>
      <w:r w:rsidR="00F023C7" w:rsidRPr="00E32E3E">
        <w:rPr>
          <w:rFonts w:ascii="Arial" w:hAnsi="Arial" w:cs="Arial"/>
          <w:lang w:val="es-ES_tradnl"/>
        </w:rPr>
        <w:t xml:space="preserve">coherentes, </w:t>
      </w:r>
      <w:r w:rsidRPr="00E32E3E">
        <w:rPr>
          <w:rFonts w:ascii="Arial" w:hAnsi="Arial" w:cs="Arial"/>
          <w:lang w:val="es-ES_tradnl"/>
        </w:rPr>
        <w:t>operativas</w:t>
      </w:r>
      <w:r w:rsidR="00F023C7" w:rsidRPr="00E32E3E">
        <w:rPr>
          <w:rFonts w:ascii="Arial" w:hAnsi="Arial" w:cs="Arial"/>
          <w:lang w:val="es-ES_tradnl"/>
        </w:rPr>
        <w:t xml:space="preserve"> y</w:t>
      </w:r>
      <w:r w:rsidRPr="00E32E3E">
        <w:rPr>
          <w:rFonts w:ascii="Arial" w:hAnsi="Arial" w:cs="Arial"/>
          <w:lang w:val="es-ES_tradnl"/>
        </w:rPr>
        <w:t xml:space="preserve"> concretas</w:t>
      </w:r>
      <w:r w:rsidR="00E32E3E" w:rsidRPr="00E32E3E">
        <w:rPr>
          <w:rFonts w:ascii="Arial" w:hAnsi="Arial" w:cs="Arial"/>
          <w:lang w:val="es-ES_tradnl"/>
        </w:rPr>
        <w:t xml:space="preserve"> y permanecen en la simple retórica</w:t>
      </w:r>
      <w:r w:rsidRPr="00E32E3E">
        <w:rPr>
          <w:rFonts w:ascii="Arial" w:hAnsi="Arial" w:cs="Arial"/>
          <w:lang w:val="es-ES_tradnl"/>
        </w:rPr>
        <w:t xml:space="preserve">. </w:t>
      </w:r>
      <w:r w:rsidR="001259C9" w:rsidRPr="00E32E3E">
        <w:rPr>
          <w:rFonts w:ascii="Arial" w:hAnsi="Arial" w:cs="Arial"/>
          <w:lang w:val="es-ES_tradnl"/>
        </w:rPr>
        <w:t xml:space="preserve">La Organización para la Cooperación y el Desarrollo Económico (OCDE) recuerda </w:t>
      </w:r>
      <w:r w:rsidR="00A205D0" w:rsidRPr="00E32E3E">
        <w:rPr>
          <w:rFonts w:ascii="Arial" w:hAnsi="Arial" w:cs="Arial"/>
          <w:lang w:val="es-ES_tradnl"/>
        </w:rPr>
        <w:t>que,</w:t>
      </w:r>
      <w:r w:rsidR="001259C9" w:rsidRPr="00E32E3E">
        <w:rPr>
          <w:rFonts w:ascii="Arial" w:hAnsi="Arial" w:cs="Arial"/>
          <w:lang w:val="es-ES_tradnl"/>
        </w:rPr>
        <w:t xml:space="preserve"> para evitar </w:t>
      </w:r>
      <w:r w:rsidRPr="00E32E3E">
        <w:rPr>
          <w:rFonts w:ascii="Arial" w:hAnsi="Arial" w:cs="Arial"/>
          <w:lang w:val="es-ES_tradnl"/>
        </w:rPr>
        <w:t xml:space="preserve">esta </w:t>
      </w:r>
      <w:r w:rsidR="001259C9" w:rsidRPr="00E32E3E">
        <w:rPr>
          <w:rFonts w:ascii="Arial" w:hAnsi="Arial" w:cs="Arial"/>
          <w:lang w:val="es-ES_tradnl"/>
        </w:rPr>
        <w:t>evaporación política</w:t>
      </w:r>
      <w:r w:rsidRPr="00E32E3E">
        <w:rPr>
          <w:rFonts w:ascii="Arial" w:hAnsi="Arial" w:cs="Arial"/>
          <w:lang w:val="es-ES_tradnl"/>
        </w:rPr>
        <w:t xml:space="preserve">, </w:t>
      </w:r>
      <w:r w:rsidR="001259C9" w:rsidRPr="00E32E3E">
        <w:rPr>
          <w:rFonts w:ascii="Arial" w:hAnsi="Arial" w:cs="Arial"/>
          <w:lang w:val="es-ES_tradnl"/>
        </w:rPr>
        <w:t xml:space="preserve">es necesaria una mayor armonización internacional como así también el fortalecimiento de la coordinación para lograr una mayor coherencia en </w:t>
      </w:r>
      <w:r w:rsidR="00F023C7" w:rsidRPr="00E32E3E">
        <w:rPr>
          <w:rFonts w:ascii="Arial" w:hAnsi="Arial" w:cs="Arial"/>
          <w:lang w:val="es-ES_tradnl"/>
        </w:rPr>
        <w:t xml:space="preserve">el ciclo de </w:t>
      </w:r>
      <w:r w:rsidR="001259C9" w:rsidRPr="00E32E3E">
        <w:rPr>
          <w:rFonts w:ascii="Arial" w:hAnsi="Arial" w:cs="Arial"/>
          <w:lang w:val="es-ES_tradnl"/>
        </w:rPr>
        <w:t>las políticas (Dearden, 2008: 190). Evitar la evaporación política requiere del establecimiento de un diálogo multinivel</w:t>
      </w:r>
      <w:r w:rsidRPr="00E32E3E">
        <w:rPr>
          <w:rFonts w:ascii="Arial" w:hAnsi="Arial" w:cs="Arial"/>
          <w:lang w:val="es-ES_tradnl"/>
        </w:rPr>
        <w:t>,</w:t>
      </w:r>
      <w:r w:rsidR="001259C9" w:rsidRPr="00E32E3E">
        <w:rPr>
          <w:rFonts w:ascii="Arial" w:hAnsi="Arial" w:cs="Arial"/>
          <w:lang w:val="es-ES_tradnl"/>
        </w:rPr>
        <w:t xml:space="preserve"> </w:t>
      </w:r>
      <w:r w:rsidR="00976496" w:rsidRPr="00E32E3E">
        <w:rPr>
          <w:rFonts w:ascii="Arial" w:hAnsi="Arial" w:cs="Arial"/>
          <w:lang w:val="es-ES_tradnl"/>
        </w:rPr>
        <w:t xml:space="preserve">que permita </w:t>
      </w:r>
      <w:r w:rsidR="001259C9" w:rsidRPr="00E32E3E">
        <w:rPr>
          <w:rFonts w:ascii="Arial" w:hAnsi="Arial" w:cs="Arial"/>
          <w:lang w:val="es-ES_tradnl"/>
        </w:rPr>
        <w:t>reflexionar</w:t>
      </w:r>
      <w:r w:rsidR="00976496" w:rsidRPr="00E32E3E">
        <w:rPr>
          <w:rFonts w:ascii="Arial" w:hAnsi="Arial" w:cs="Arial"/>
          <w:lang w:val="es-ES_tradnl"/>
        </w:rPr>
        <w:t xml:space="preserve"> y debatir, de forma moderna e innovadora,</w:t>
      </w:r>
      <w:r w:rsidR="001259C9" w:rsidRPr="00E32E3E">
        <w:rPr>
          <w:rFonts w:ascii="Arial" w:hAnsi="Arial" w:cs="Arial"/>
          <w:lang w:val="es-ES_tradnl"/>
        </w:rPr>
        <w:t xml:space="preserve"> el papel de los procesos de integración regional</w:t>
      </w:r>
      <w:r w:rsidR="00976496" w:rsidRPr="00E32E3E">
        <w:rPr>
          <w:rFonts w:ascii="Arial" w:hAnsi="Arial" w:cs="Arial"/>
          <w:lang w:val="es-ES_tradnl"/>
        </w:rPr>
        <w:t xml:space="preserve"> en el diseño de políticas públicas regionales a favor del desarrollo sostenible y, por tanto, que contribuyan al </w:t>
      </w:r>
      <w:r w:rsidR="001259C9" w:rsidRPr="00E32E3E">
        <w:rPr>
          <w:rFonts w:ascii="Arial" w:hAnsi="Arial" w:cs="Arial"/>
          <w:lang w:val="es-ES_tradnl"/>
        </w:rPr>
        <w:t>cumplimiento de los ODS.</w:t>
      </w:r>
    </w:p>
    <w:p w14:paraId="4C49005C" w14:textId="77777777" w:rsidR="008B719A" w:rsidRPr="00E32E3E" w:rsidRDefault="008B719A" w:rsidP="00201D7E">
      <w:pPr>
        <w:jc w:val="both"/>
        <w:rPr>
          <w:rFonts w:ascii="Arial" w:hAnsi="Arial" w:cs="Arial"/>
          <w:lang w:val="es-ES_tradnl"/>
        </w:rPr>
      </w:pPr>
    </w:p>
    <w:p w14:paraId="279F9C38" w14:textId="281CC526" w:rsidR="009C3094" w:rsidRPr="00CE784B" w:rsidRDefault="0042743A" w:rsidP="00201D7E">
      <w:pPr>
        <w:jc w:val="both"/>
        <w:rPr>
          <w:rFonts w:ascii="Arial" w:hAnsi="Arial" w:cs="Arial"/>
          <w:b/>
          <w:lang w:val="es-MX"/>
        </w:rPr>
      </w:pPr>
      <w:r w:rsidRPr="00BC1EF8">
        <w:rPr>
          <w:rFonts w:ascii="Arial" w:hAnsi="Arial" w:cs="Arial"/>
          <w:b/>
          <w:lang w:val="es-MX"/>
        </w:rPr>
        <w:t>4</w:t>
      </w:r>
      <w:r w:rsidR="008E6703" w:rsidRPr="005207EE">
        <w:rPr>
          <w:rFonts w:ascii="Arial" w:hAnsi="Arial" w:cs="Arial"/>
          <w:b/>
          <w:lang w:val="es-MX"/>
        </w:rPr>
        <w:t>.- Los e</w:t>
      </w:r>
      <w:r w:rsidR="009C3094" w:rsidRPr="00CE784B">
        <w:rPr>
          <w:rFonts w:ascii="Arial" w:hAnsi="Arial" w:cs="Arial"/>
          <w:b/>
          <w:lang w:val="es-MX"/>
        </w:rPr>
        <w:t xml:space="preserve">lementos de convergencia con el PEAS </w:t>
      </w:r>
    </w:p>
    <w:p w14:paraId="3138DF2B" w14:textId="5F1F244C" w:rsidR="009C3094" w:rsidRPr="00E6008D" w:rsidRDefault="0031085D" w:rsidP="00AD204C">
      <w:pPr>
        <w:jc w:val="both"/>
        <w:rPr>
          <w:rFonts w:ascii="Arial" w:hAnsi="Arial" w:cs="Arial"/>
          <w:lang w:val="es-MX"/>
        </w:rPr>
      </w:pPr>
      <w:r>
        <w:rPr>
          <w:rFonts w:ascii="Arial" w:hAnsi="Arial" w:cs="Arial"/>
          <w:lang w:val="es-MX"/>
        </w:rPr>
        <w:t xml:space="preserve">Si </w:t>
      </w:r>
      <w:r w:rsidR="00703DA5">
        <w:rPr>
          <w:rFonts w:ascii="Arial" w:hAnsi="Arial" w:cs="Arial"/>
          <w:lang w:val="es-MX"/>
        </w:rPr>
        <w:t>se analizan</w:t>
      </w:r>
      <w:r>
        <w:rPr>
          <w:rFonts w:ascii="Arial" w:hAnsi="Arial" w:cs="Arial"/>
          <w:lang w:val="es-MX"/>
        </w:rPr>
        <w:t xml:space="preserve"> de manera comparativa los diversos instrumentos globales de promoción del desarrollo social, podemos ver que el </w:t>
      </w:r>
      <w:r w:rsidR="009C3094" w:rsidRPr="00764242">
        <w:rPr>
          <w:rFonts w:ascii="Arial" w:hAnsi="Arial" w:cs="Arial"/>
          <w:lang w:val="es-MX"/>
        </w:rPr>
        <w:t>PEAS muestra importantes elementos de convergencia. Evidentemente, esto</w:t>
      </w:r>
      <w:r w:rsidR="00703DA5">
        <w:rPr>
          <w:rFonts w:ascii="Arial" w:hAnsi="Arial" w:cs="Arial"/>
          <w:lang w:val="es-MX"/>
        </w:rPr>
        <w:t xml:space="preserve">s </w:t>
      </w:r>
      <w:r w:rsidR="009C3094" w:rsidRPr="00764242">
        <w:rPr>
          <w:rFonts w:ascii="Arial" w:hAnsi="Arial" w:cs="Arial"/>
          <w:lang w:val="es-MX"/>
        </w:rPr>
        <w:t>refleja</w:t>
      </w:r>
      <w:r w:rsidR="00703DA5">
        <w:rPr>
          <w:rFonts w:ascii="Arial" w:hAnsi="Arial" w:cs="Arial"/>
          <w:lang w:val="es-MX"/>
        </w:rPr>
        <w:t>n</w:t>
      </w:r>
      <w:r w:rsidR="009C3094" w:rsidRPr="00764242">
        <w:rPr>
          <w:rFonts w:ascii="Arial" w:hAnsi="Arial" w:cs="Arial"/>
          <w:lang w:val="es-MX"/>
        </w:rPr>
        <w:t xml:space="preserve"> consensos básicos aceptados a nivel mundial, que se </w:t>
      </w:r>
      <w:r w:rsidR="00703DA5">
        <w:rPr>
          <w:rFonts w:ascii="Arial" w:hAnsi="Arial" w:cs="Arial"/>
          <w:lang w:val="es-MX"/>
        </w:rPr>
        <w:t>materializan</w:t>
      </w:r>
      <w:r w:rsidR="00703DA5" w:rsidRPr="00764242">
        <w:rPr>
          <w:rFonts w:ascii="Arial" w:hAnsi="Arial" w:cs="Arial"/>
          <w:lang w:val="es-MX"/>
        </w:rPr>
        <w:t xml:space="preserve"> </w:t>
      </w:r>
      <w:r w:rsidR="009C3094" w:rsidRPr="00764242">
        <w:rPr>
          <w:rFonts w:ascii="Arial" w:hAnsi="Arial" w:cs="Arial"/>
          <w:lang w:val="es-MX"/>
        </w:rPr>
        <w:t>en los diversos instrumentos internaci</w:t>
      </w:r>
      <w:r w:rsidR="009C3094" w:rsidRPr="00E6008D">
        <w:rPr>
          <w:rFonts w:ascii="Arial" w:hAnsi="Arial" w:cs="Arial"/>
          <w:lang w:val="es-MX"/>
        </w:rPr>
        <w:t xml:space="preserve">onales. Esos marcos </w:t>
      </w:r>
      <w:r w:rsidR="009C3094" w:rsidRPr="00703DA5">
        <w:rPr>
          <w:rFonts w:ascii="Arial" w:hAnsi="Arial" w:cs="Arial"/>
          <w:lang w:val="es-MX"/>
        </w:rPr>
        <w:t xml:space="preserve">identifican una serie de prioridades de intervención, marcando los horizontes hacia los cuales deberían orientarse los países participantes de esos acuerdos. </w:t>
      </w:r>
      <w:r w:rsidR="00FF7A27" w:rsidRPr="00703DA5">
        <w:rPr>
          <w:rFonts w:ascii="Arial" w:hAnsi="Arial" w:cs="Arial"/>
          <w:lang w:val="es-MX"/>
        </w:rPr>
        <w:t>El cuadro siguiente muestr</w:t>
      </w:r>
      <w:r w:rsidR="00703DA5" w:rsidRPr="00703DA5">
        <w:rPr>
          <w:rFonts w:ascii="Arial" w:hAnsi="Arial" w:cs="Arial"/>
          <w:lang w:val="es-MX"/>
        </w:rPr>
        <w:t>a</w:t>
      </w:r>
      <w:r w:rsidR="00FF7A27" w:rsidRPr="00703DA5">
        <w:rPr>
          <w:rFonts w:ascii="Arial" w:hAnsi="Arial" w:cs="Arial"/>
          <w:lang w:val="es-MX"/>
        </w:rPr>
        <w:t xml:space="preserve"> los diversos puntos en común que guardan las agendas globales del</w:t>
      </w:r>
      <w:r w:rsidR="00FF7A27">
        <w:rPr>
          <w:rFonts w:ascii="Arial" w:hAnsi="Arial" w:cs="Arial"/>
          <w:lang w:val="es-MX"/>
        </w:rPr>
        <w:t xml:space="preserve"> desarrollo con el PEAS.</w:t>
      </w:r>
    </w:p>
    <w:p w14:paraId="6DD651C1" w14:textId="3C1F645E" w:rsidR="00117645" w:rsidRDefault="00DB4DFA" w:rsidP="00AD204C">
      <w:pPr>
        <w:jc w:val="both"/>
        <w:rPr>
          <w:rFonts w:ascii="Arial" w:hAnsi="Arial" w:cs="Arial"/>
          <w:lang w:val="es-MX"/>
        </w:rPr>
      </w:pPr>
      <w:r w:rsidRPr="00DB4DFA">
        <w:rPr>
          <w:noProof/>
          <w:lang w:val="es-PY" w:eastAsia="es-PY"/>
        </w:rPr>
        <w:drawing>
          <wp:inline distT="0" distB="0" distL="0" distR="0" wp14:anchorId="2D231360" wp14:editId="43234BCA">
            <wp:extent cx="5400040" cy="2336165"/>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336165"/>
                    </a:xfrm>
                    <a:prstGeom prst="rect">
                      <a:avLst/>
                    </a:prstGeom>
                    <a:noFill/>
                    <a:ln>
                      <a:noFill/>
                    </a:ln>
                  </pic:spPr>
                </pic:pic>
              </a:graphicData>
            </a:graphic>
          </wp:inline>
        </w:drawing>
      </w:r>
    </w:p>
    <w:p w14:paraId="1B5A37C7" w14:textId="66987A18" w:rsidR="00DB4DFA" w:rsidRPr="00682488" w:rsidRDefault="00682488" w:rsidP="00AD204C">
      <w:pPr>
        <w:jc w:val="both"/>
        <w:rPr>
          <w:rFonts w:ascii="Arial" w:hAnsi="Arial" w:cs="Arial"/>
          <w:sz w:val="16"/>
          <w:szCs w:val="16"/>
          <w:lang w:val="es-MX"/>
        </w:rPr>
      </w:pPr>
      <w:r w:rsidRPr="00682488">
        <w:rPr>
          <w:rFonts w:ascii="Arial" w:hAnsi="Arial" w:cs="Arial"/>
          <w:sz w:val="16"/>
          <w:szCs w:val="16"/>
          <w:lang w:val="es-MX"/>
        </w:rPr>
        <w:t>Fuente: Elaboración propia.</w:t>
      </w:r>
    </w:p>
    <w:p w14:paraId="2D0E7C92" w14:textId="7F277110" w:rsidR="009C3094" w:rsidRPr="00AD204C" w:rsidRDefault="009C3094" w:rsidP="00CC010C">
      <w:pPr>
        <w:jc w:val="both"/>
        <w:rPr>
          <w:rFonts w:ascii="Arial" w:hAnsi="Arial" w:cs="Arial"/>
          <w:lang w:val="es-MX"/>
        </w:rPr>
      </w:pPr>
      <w:r w:rsidRPr="00201D7E">
        <w:rPr>
          <w:rFonts w:ascii="Arial" w:hAnsi="Arial" w:cs="Arial"/>
          <w:lang w:val="es-MX"/>
        </w:rPr>
        <w:lastRenderedPageBreak/>
        <w:t>De la comparación con los diversos instrumentos vigentes para la promoción de Desarrollo Social regional podemos extraer diversas conclusiones. En primer lugar, podemos apreciar que el PEAS guarda una similitud importante con los ODS y las Metas Sociales de UNASUR, en términos de la coincidencia de ejes de interv</w:t>
      </w:r>
      <w:r w:rsidRPr="00AD204C">
        <w:rPr>
          <w:rFonts w:ascii="Arial" w:hAnsi="Arial" w:cs="Arial"/>
          <w:lang w:val="es-MX"/>
        </w:rPr>
        <w:t>ención. También se aprecia una proximidad importante con el Protocolo de San Salvador</w:t>
      </w:r>
      <w:r w:rsidR="00FF7A27">
        <w:rPr>
          <w:rFonts w:ascii="Arial" w:hAnsi="Arial" w:cs="Arial"/>
          <w:lang w:val="es-MX"/>
        </w:rPr>
        <w:t xml:space="preserve">, </w:t>
      </w:r>
      <w:r w:rsidRPr="00AD204C">
        <w:rPr>
          <w:rFonts w:ascii="Arial" w:hAnsi="Arial" w:cs="Arial"/>
          <w:lang w:val="es-MX"/>
        </w:rPr>
        <w:t>la Carta Social de la OEA</w:t>
      </w:r>
      <w:r w:rsidR="00FF7A27">
        <w:rPr>
          <w:rFonts w:ascii="Arial" w:hAnsi="Arial" w:cs="Arial"/>
          <w:lang w:val="es-MX"/>
        </w:rPr>
        <w:t xml:space="preserve"> y el Consenso de Montevideo</w:t>
      </w:r>
      <w:r w:rsidRPr="00AD204C">
        <w:rPr>
          <w:rFonts w:ascii="Arial" w:hAnsi="Arial" w:cs="Arial"/>
          <w:lang w:val="es-MX"/>
        </w:rPr>
        <w:t>.</w:t>
      </w:r>
    </w:p>
    <w:p w14:paraId="30C16089" w14:textId="593549E6" w:rsidR="009C3094" w:rsidRPr="00764242" w:rsidRDefault="00811C70" w:rsidP="00BC1EF8">
      <w:pPr>
        <w:jc w:val="both"/>
        <w:rPr>
          <w:rFonts w:ascii="Arial" w:hAnsi="Arial" w:cs="Arial"/>
          <w:lang w:val="es-MX"/>
        </w:rPr>
      </w:pPr>
      <w:r>
        <w:rPr>
          <w:rFonts w:ascii="Arial" w:hAnsi="Arial" w:cs="Arial"/>
          <w:lang w:val="es-MX"/>
        </w:rPr>
        <w:t>Además,</w:t>
      </w:r>
      <w:r w:rsidR="009C3094" w:rsidRPr="00AD204C">
        <w:rPr>
          <w:rFonts w:ascii="Arial" w:hAnsi="Arial" w:cs="Arial"/>
          <w:lang w:val="es-MX"/>
        </w:rPr>
        <w:t xml:space="preserve"> la estructura del PEAS</w:t>
      </w:r>
      <w:r w:rsidR="00FF7A27">
        <w:rPr>
          <w:rFonts w:ascii="Arial" w:hAnsi="Arial" w:cs="Arial"/>
          <w:lang w:val="es-MX"/>
        </w:rPr>
        <w:t xml:space="preserve"> </w:t>
      </w:r>
      <w:r w:rsidR="002F06D0">
        <w:rPr>
          <w:rFonts w:ascii="Arial" w:hAnsi="Arial" w:cs="Arial"/>
          <w:lang w:val="es-MX"/>
        </w:rPr>
        <w:t xml:space="preserve">ofrece </w:t>
      </w:r>
      <w:r w:rsidR="00FF7A27">
        <w:rPr>
          <w:rFonts w:ascii="Arial" w:hAnsi="Arial" w:cs="Arial"/>
          <w:lang w:val="es-MX"/>
        </w:rPr>
        <w:t>cierta flexibilidad, que permite la incorporación de otras líneas de acción no consideradas</w:t>
      </w:r>
      <w:r w:rsidR="009C3094" w:rsidRPr="00AD204C">
        <w:rPr>
          <w:rFonts w:ascii="Arial" w:hAnsi="Arial" w:cs="Arial"/>
          <w:lang w:val="es-MX"/>
        </w:rPr>
        <w:t xml:space="preserve">. </w:t>
      </w:r>
      <w:r w:rsidR="009C3094" w:rsidRPr="00BC1EF8">
        <w:rPr>
          <w:rFonts w:ascii="Arial" w:hAnsi="Arial" w:cs="Arial"/>
          <w:lang w:val="es-MX"/>
        </w:rPr>
        <w:t xml:space="preserve">Por ejemplo, la Carta Social de OEA muestra un desarrollo interesante en su eje 2 de “Protección Social”, el cual es mucho más complejo que el enfoque que se recoge en el PEAS. La Carta </w:t>
      </w:r>
      <w:r w:rsidR="00FF7A27">
        <w:rPr>
          <w:rFonts w:ascii="Arial" w:hAnsi="Arial" w:cs="Arial"/>
          <w:lang w:val="es-MX"/>
        </w:rPr>
        <w:t xml:space="preserve">de OEA </w:t>
      </w:r>
      <w:r w:rsidR="009C3094" w:rsidRPr="00BC1EF8">
        <w:rPr>
          <w:rFonts w:ascii="Arial" w:hAnsi="Arial" w:cs="Arial"/>
          <w:lang w:val="es-MX"/>
        </w:rPr>
        <w:t xml:space="preserve">también desarrolla un eje 6 sobre “Vivienda y Servicios Básicos”, el cual </w:t>
      </w:r>
      <w:r w:rsidR="00FF7A27">
        <w:rPr>
          <w:rFonts w:ascii="Arial" w:hAnsi="Arial" w:cs="Arial"/>
          <w:lang w:val="es-MX"/>
        </w:rPr>
        <w:t xml:space="preserve">podría ser incorporado </w:t>
      </w:r>
      <w:r w:rsidR="009C3094" w:rsidRPr="00BC1EF8">
        <w:rPr>
          <w:rFonts w:ascii="Arial" w:hAnsi="Arial" w:cs="Arial"/>
          <w:lang w:val="es-MX"/>
        </w:rPr>
        <w:t xml:space="preserve">en el PEAS. </w:t>
      </w:r>
    </w:p>
    <w:p w14:paraId="05A1474F" w14:textId="5E0FE431" w:rsidR="009C3094" w:rsidRPr="00E6008D" w:rsidRDefault="009C3094" w:rsidP="00BC1EF8">
      <w:pPr>
        <w:jc w:val="both"/>
        <w:rPr>
          <w:rFonts w:ascii="Arial" w:hAnsi="Arial" w:cs="Arial"/>
          <w:lang w:val="es-MX"/>
        </w:rPr>
      </w:pPr>
      <w:r w:rsidRPr="00DB4566">
        <w:rPr>
          <w:rFonts w:ascii="Arial" w:hAnsi="Arial" w:cs="Arial"/>
          <w:lang w:val="es-MX"/>
        </w:rPr>
        <w:t>Por otro lado, el Protocolo de San Salvador de OEA recoge cier</w:t>
      </w:r>
      <w:r w:rsidRPr="008564A9">
        <w:rPr>
          <w:rFonts w:ascii="Arial" w:hAnsi="Arial" w:cs="Arial"/>
          <w:lang w:val="es-MX"/>
        </w:rPr>
        <w:t>to énfasis en la perspectiva sobre el ciclo de vida y familia, en los ejes 10 “Derecho a la constitución y protección de la familia”, 11 “Derechos de la Niñez”, 12 “Protección de Ancianos” y 13 “Protección de Minusválidos”. Estos lineamientos de acción</w:t>
      </w:r>
      <w:r w:rsidR="00FF7A27">
        <w:rPr>
          <w:rFonts w:ascii="Arial" w:hAnsi="Arial" w:cs="Arial"/>
          <w:lang w:val="es-MX"/>
        </w:rPr>
        <w:t xml:space="preserve">, que en algunos aspectos coinciden con el Consenso de Montevideo, podrían ser incorporados también en el </w:t>
      </w:r>
      <w:r w:rsidRPr="00E6008D">
        <w:rPr>
          <w:rFonts w:ascii="Arial" w:hAnsi="Arial" w:cs="Arial"/>
          <w:lang w:val="es-MX"/>
        </w:rPr>
        <w:t>PEAS.</w:t>
      </w:r>
    </w:p>
    <w:p w14:paraId="17394585" w14:textId="0045F4F6" w:rsidR="009C3094" w:rsidRPr="00F0232B" w:rsidRDefault="009C3094" w:rsidP="00764242">
      <w:pPr>
        <w:jc w:val="both"/>
        <w:rPr>
          <w:rFonts w:ascii="Arial" w:hAnsi="Arial" w:cs="Arial"/>
          <w:lang w:val="es-MX"/>
        </w:rPr>
      </w:pPr>
      <w:r w:rsidRPr="00577500">
        <w:rPr>
          <w:rFonts w:ascii="Arial" w:hAnsi="Arial" w:cs="Arial"/>
          <w:lang w:val="es-MX"/>
        </w:rPr>
        <w:t xml:space="preserve">En lo que respecta a UNASUR, las Metas Sudamericanas poseen un eje 8 de “Ciencia y Tecnología”, el cual marca, entre otras dimensiones, el de la democratización en el acceso a las nuevas tecnologías de la comunicación, el cual es </w:t>
      </w:r>
      <w:r w:rsidR="00C42AC4" w:rsidRPr="00577500">
        <w:rPr>
          <w:rFonts w:ascii="Arial" w:hAnsi="Arial" w:cs="Arial"/>
          <w:lang w:val="es-MX"/>
        </w:rPr>
        <w:t>un eje interesante para considerar</w:t>
      </w:r>
      <w:r w:rsidRPr="00577500">
        <w:rPr>
          <w:rFonts w:ascii="Arial" w:hAnsi="Arial" w:cs="Arial"/>
          <w:lang w:val="es-MX"/>
        </w:rPr>
        <w:t xml:space="preserve"> por el PEAS. En términos de la Agenda Social UNASUR, la</w:t>
      </w:r>
      <w:r w:rsidRPr="00F0232B">
        <w:rPr>
          <w:rFonts w:ascii="Arial" w:hAnsi="Arial" w:cs="Arial"/>
          <w:lang w:val="es-MX"/>
        </w:rPr>
        <w:t xml:space="preserve"> misma tiene un eje de acción 2 de “Promover sistemas de protección y promoción social……”, el cual es un desarrollo del cual carece el PEAS (ver también Carta Social OEA). </w:t>
      </w:r>
    </w:p>
    <w:p w14:paraId="0B2CAC0D" w14:textId="12648424" w:rsidR="00C817B6" w:rsidRPr="00201D7E" w:rsidRDefault="00C817B6" w:rsidP="00E6008D">
      <w:pPr>
        <w:jc w:val="both"/>
        <w:rPr>
          <w:rFonts w:ascii="Arial" w:hAnsi="Arial" w:cs="Arial"/>
          <w:lang w:val="es-MX"/>
        </w:rPr>
      </w:pPr>
      <w:r w:rsidRPr="00201D7E">
        <w:rPr>
          <w:rFonts w:ascii="Arial" w:hAnsi="Arial" w:cs="Arial"/>
          <w:lang w:val="es-MX"/>
        </w:rPr>
        <w:t xml:space="preserve">El documento del Consenso de Montevideo muestra que </w:t>
      </w:r>
      <w:r w:rsidR="00FF7A27">
        <w:rPr>
          <w:rFonts w:ascii="Arial" w:hAnsi="Arial" w:cs="Arial"/>
          <w:lang w:val="es-MX"/>
        </w:rPr>
        <w:t>sus</w:t>
      </w:r>
      <w:r w:rsidR="00FF7A27" w:rsidRPr="00201D7E">
        <w:rPr>
          <w:rFonts w:ascii="Arial" w:hAnsi="Arial" w:cs="Arial"/>
          <w:lang w:val="es-MX"/>
        </w:rPr>
        <w:t xml:space="preserve"> </w:t>
      </w:r>
      <w:r w:rsidRPr="00201D7E">
        <w:rPr>
          <w:rFonts w:ascii="Arial" w:hAnsi="Arial" w:cs="Arial"/>
          <w:lang w:val="es-MX"/>
        </w:rPr>
        <w:t>9 temas de intervención coinciden con alguno de los 10 ejes del PEAS. El grado de coincidencias más altos con el PEAS se da en tres temas del Consenso relativos a las políticas para Niños y Niñas, Adolescentes y Jóvenes, Igualdad de Género y Pueblos Afrodescendientes (temas B, E, I)</w:t>
      </w:r>
      <w:r w:rsidR="00682488">
        <w:rPr>
          <w:rFonts w:ascii="Arial" w:hAnsi="Arial" w:cs="Arial"/>
          <w:lang w:val="es-MX"/>
        </w:rPr>
        <w:t>.</w:t>
      </w:r>
    </w:p>
    <w:p w14:paraId="0B21FCDA" w14:textId="70993E21" w:rsidR="001C1C41" w:rsidRDefault="009C3094" w:rsidP="00E6008D">
      <w:pPr>
        <w:jc w:val="both"/>
        <w:rPr>
          <w:rFonts w:ascii="Arial" w:hAnsi="Arial" w:cs="Arial"/>
          <w:lang w:val="es-MX"/>
        </w:rPr>
      </w:pPr>
      <w:r w:rsidRPr="00E064B5">
        <w:rPr>
          <w:rFonts w:ascii="Arial" w:hAnsi="Arial" w:cs="Arial"/>
          <w:lang w:val="es-MX"/>
        </w:rPr>
        <w:t>Los ODS</w:t>
      </w:r>
      <w:r w:rsidR="00FF7A27">
        <w:rPr>
          <w:rFonts w:ascii="Arial" w:hAnsi="Arial" w:cs="Arial"/>
          <w:lang w:val="es-MX"/>
        </w:rPr>
        <w:t xml:space="preserve">, </w:t>
      </w:r>
      <w:r w:rsidR="00AF7DA3">
        <w:rPr>
          <w:rFonts w:ascii="Arial" w:hAnsi="Arial" w:cs="Arial"/>
          <w:lang w:val="es-MX"/>
        </w:rPr>
        <w:t xml:space="preserve">más allá de los diversos puntos de convergencia </w:t>
      </w:r>
      <w:r w:rsidR="00FF7A27">
        <w:rPr>
          <w:rFonts w:ascii="Arial" w:hAnsi="Arial" w:cs="Arial"/>
          <w:lang w:val="es-MX"/>
        </w:rPr>
        <w:t xml:space="preserve">con el PEAS, muestran otros aspectos que podrían ser incorporados al </w:t>
      </w:r>
      <w:r w:rsidR="00AF7DA3">
        <w:rPr>
          <w:rFonts w:ascii="Arial" w:hAnsi="Arial" w:cs="Arial"/>
          <w:lang w:val="es-MX"/>
        </w:rPr>
        <w:t>P</w:t>
      </w:r>
      <w:r w:rsidR="00FF7A27">
        <w:rPr>
          <w:rFonts w:ascii="Arial" w:hAnsi="Arial" w:cs="Arial"/>
          <w:lang w:val="es-MX"/>
        </w:rPr>
        <w:t xml:space="preserve">lan. </w:t>
      </w:r>
      <w:r w:rsidRPr="00E064B5">
        <w:rPr>
          <w:rFonts w:ascii="Arial" w:hAnsi="Arial" w:cs="Arial"/>
          <w:lang w:val="es-MX"/>
        </w:rPr>
        <w:t>Esto es así en cuanto al objetivo 7 “Garantizar acceso a la energía…”, el 9 “Construir infraestructuras resilientes, promover la industrialización inclusiva</w:t>
      </w:r>
      <w:r w:rsidR="004C14BF">
        <w:rPr>
          <w:rFonts w:ascii="Arial" w:hAnsi="Arial" w:cs="Arial"/>
          <w:lang w:val="es-MX"/>
        </w:rPr>
        <w:t>…</w:t>
      </w:r>
      <w:r w:rsidRPr="00E064B5">
        <w:rPr>
          <w:rFonts w:ascii="Arial" w:hAnsi="Arial" w:cs="Arial"/>
          <w:lang w:val="es-MX"/>
        </w:rPr>
        <w:t>.”, y también el 11 “Lograr ciudades y asentamientos humanos inclusivos, sostenibles</w:t>
      </w:r>
      <w:r w:rsidR="00AF7DA3">
        <w:rPr>
          <w:rFonts w:ascii="Arial" w:hAnsi="Arial" w:cs="Arial"/>
          <w:lang w:val="es-MX"/>
        </w:rPr>
        <w:t xml:space="preserve">. </w:t>
      </w:r>
      <w:r w:rsidR="00F36AF0">
        <w:rPr>
          <w:rFonts w:ascii="Arial" w:hAnsi="Arial" w:cs="Arial"/>
          <w:lang w:val="es-MX"/>
        </w:rPr>
        <w:t xml:space="preserve">Desde </w:t>
      </w:r>
      <w:r w:rsidR="008B6758">
        <w:rPr>
          <w:rFonts w:ascii="Arial" w:hAnsi="Arial" w:cs="Arial"/>
          <w:lang w:val="es-MX"/>
        </w:rPr>
        <w:t xml:space="preserve">una </w:t>
      </w:r>
      <w:r w:rsidR="00F36AF0">
        <w:rPr>
          <w:rFonts w:ascii="Arial" w:hAnsi="Arial" w:cs="Arial"/>
          <w:lang w:val="es-MX"/>
        </w:rPr>
        <w:t xml:space="preserve">perspectiva </w:t>
      </w:r>
      <w:r w:rsidR="002F06D0">
        <w:rPr>
          <w:rFonts w:ascii="Arial" w:hAnsi="Arial" w:cs="Arial"/>
          <w:lang w:val="es-MX"/>
        </w:rPr>
        <w:t>c</w:t>
      </w:r>
      <w:r w:rsidR="008B6758">
        <w:rPr>
          <w:rFonts w:ascii="Arial" w:hAnsi="Arial" w:cs="Arial"/>
          <w:lang w:val="es-MX"/>
        </w:rPr>
        <w:t>epalina</w:t>
      </w:r>
      <w:r w:rsidR="00F36AF0">
        <w:rPr>
          <w:rFonts w:ascii="Arial" w:hAnsi="Arial" w:cs="Arial"/>
          <w:lang w:val="es-MX"/>
        </w:rPr>
        <w:t xml:space="preserve">, </w:t>
      </w:r>
      <w:r w:rsidR="006707DF">
        <w:rPr>
          <w:rFonts w:ascii="Arial" w:hAnsi="Arial" w:cs="Arial"/>
          <w:lang w:val="es-MX"/>
        </w:rPr>
        <w:t xml:space="preserve">el ODS 9 </w:t>
      </w:r>
      <w:r w:rsidR="008B6758">
        <w:rPr>
          <w:rFonts w:ascii="Arial" w:hAnsi="Arial" w:cs="Arial"/>
          <w:lang w:val="es-MX"/>
        </w:rPr>
        <w:t xml:space="preserve">podría ser incluido </w:t>
      </w:r>
      <w:r w:rsidR="006707DF">
        <w:rPr>
          <w:rFonts w:ascii="Arial" w:hAnsi="Arial" w:cs="Arial"/>
          <w:lang w:val="es-MX"/>
        </w:rPr>
        <w:t>en el Eje VI del PEAS que busca “garantizar la integración productiva”</w:t>
      </w:r>
      <w:r w:rsidR="00AF7DA3">
        <w:rPr>
          <w:rStyle w:val="Refdenotaalpie"/>
          <w:rFonts w:ascii="Arial" w:hAnsi="Arial" w:cs="Arial"/>
          <w:lang w:val="es-MX"/>
        </w:rPr>
        <w:footnoteReference w:id="11"/>
      </w:r>
      <w:r w:rsidR="006707DF">
        <w:rPr>
          <w:rFonts w:ascii="Arial" w:hAnsi="Arial" w:cs="Arial"/>
          <w:lang w:val="es-MX"/>
        </w:rPr>
        <w:t xml:space="preserve">. </w:t>
      </w:r>
      <w:r w:rsidR="001C1C41">
        <w:rPr>
          <w:rFonts w:ascii="Arial" w:hAnsi="Arial" w:cs="Arial"/>
          <w:lang w:val="es-MX"/>
        </w:rPr>
        <w:t xml:space="preserve">El ODS 11 ofrece la oportunidad de </w:t>
      </w:r>
      <w:r w:rsidR="001C1C41" w:rsidRPr="001C1C41">
        <w:rPr>
          <w:rFonts w:ascii="Arial" w:hAnsi="Arial" w:cs="Arial"/>
          <w:lang w:val="es-MX"/>
        </w:rPr>
        <w:t xml:space="preserve">fortalecer los esquemas de gobernanza estratégica que </w:t>
      </w:r>
      <w:r w:rsidR="001C1C41" w:rsidRPr="001C1C41">
        <w:rPr>
          <w:rFonts w:ascii="Arial" w:hAnsi="Arial" w:cs="Arial"/>
          <w:lang w:val="es-MX"/>
        </w:rPr>
        <w:lastRenderedPageBreak/>
        <w:t xml:space="preserve">puedan diseñarse en cada uno de los territorios locales y de frontera. </w:t>
      </w:r>
      <w:r w:rsidR="001C1C41">
        <w:rPr>
          <w:rFonts w:ascii="Arial" w:hAnsi="Arial" w:cs="Arial"/>
          <w:lang w:val="es-MX"/>
        </w:rPr>
        <w:t xml:space="preserve">En este marco, el </w:t>
      </w:r>
      <w:r w:rsidR="001526EB">
        <w:rPr>
          <w:rFonts w:ascii="Arial" w:hAnsi="Arial" w:cs="Arial"/>
          <w:lang w:val="es-MX"/>
        </w:rPr>
        <w:t>MERCOSUR</w:t>
      </w:r>
      <w:r w:rsidR="001C1C41">
        <w:rPr>
          <w:rFonts w:ascii="Arial" w:hAnsi="Arial" w:cs="Arial"/>
          <w:lang w:val="es-MX"/>
        </w:rPr>
        <w:t xml:space="preserve"> puede contar con un socio estratégico clave como la red de Mercociudade</w:t>
      </w:r>
      <w:r w:rsidR="006211C4">
        <w:rPr>
          <w:rFonts w:ascii="Arial" w:hAnsi="Arial" w:cs="Arial"/>
          <w:lang w:val="es-MX"/>
        </w:rPr>
        <w:t>s o los espacios intra-bloque con representación de lo local. Sin lugar a duda, e</w:t>
      </w:r>
      <w:r w:rsidR="001C1C41" w:rsidRPr="001C1C41">
        <w:rPr>
          <w:rFonts w:ascii="Arial" w:hAnsi="Arial" w:cs="Arial"/>
          <w:lang w:val="es-MX"/>
        </w:rPr>
        <w:t>stos acuerdos interinstitucionales deberán contemplar las asimetrías que suelen caracterizar a las zonas de frontera y fortalecer las capacidades proyectuales, de gestión y rendición de cuentas de los gobiernos locales</w:t>
      </w:r>
      <w:r w:rsidR="006211C4">
        <w:rPr>
          <w:rFonts w:ascii="Arial" w:hAnsi="Arial" w:cs="Arial"/>
          <w:lang w:val="es-MX"/>
        </w:rPr>
        <w:t xml:space="preserve"> del </w:t>
      </w:r>
      <w:r w:rsidR="001526EB">
        <w:rPr>
          <w:rFonts w:ascii="Arial" w:hAnsi="Arial" w:cs="Arial"/>
          <w:lang w:val="es-MX"/>
        </w:rPr>
        <w:t>MERCOSUR</w:t>
      </w:r>
      <w:r w:rsidR="008B6758">
        <w:rPr>
          <w:rStyle w:val="Refdenotaalpie"/>
          <w:rFonts w:ascii="Arial" w:hAnsi="Arial" w:cs="Arial"/>
          <w:lang w:val="es-MX"/>
        </w:rPr>
        <w:footnoteReference w:id="12"/>
      </w:r>
      <w:r w:rsidR="006211C4">
        <w:rPr>
          <w:rFonts w:ascii="Arial" w:hAnsi="Arial" w:cs="Arial"/>
          <w:lang w:val="es-MX"/>
        </w:rPr>
        <w:t xml:space="preserve">. </w:t>
      </w:r>
    </w:p>
    <w:p w14:paraId="33A0931A" w14:textId="79E62A8E" w:rsidR="009C3094" w:rsidRPr="00E064B5" w:rsidRDefault="009C3094" w:rsidP="00577500">
      <w:pPr>
        <w:jc w:val="both"/>
        <w:rPr>
          <w:rFonts w:ascii="Arial" w:hAnsi="Arial" w:cs="Arial"/>
          <w:lang w:val="es-MX"/>
        </w:rPr>
      </w:pPr>
      <w:r w:rsidRPr="006707DF">
        <w:rPr>
          <w:rFonts w:ascii="Arial" w:hAnsi="Arial" w:cs="Arial"/>
          <w:lang w:val="es-MX"/>
        </w:rPr>
        <w:t>En términos globales, los ODS son el instrumento que muestra el mayor grado de ref</w:t>
      </w:r>
      <w:r w:rsidRPr="001526EB">
        <w:rPr>
          <w:rFonts w:ascii="Arial" w:hAnsi="Arial" w:cs="Arial"/>
          <w:lang w:val="es-MX"/>
        </w:rPr>
        <w:t xml:space="preserve">inamiento técnico en cuanto a </w:t>
      </w:r>
      <w:r w:rsidR="00605D46">
        <w:rPr>
          <w:rFonts w:ascii="Arial" w:hAnsi="Arial" w:cs="Arial"/>
          <w:lang w:val="es-MX"/>
        </w:rPr>
        <w:t>la</w:t>
      </w:r>
      <w:r w:rsidRPr="001526EB">
        <w:rPr>
          <w:rFonts w:ascii="Arial" w:hAnsi="Arial" w:cs="Arial"/>
          <w:lang w:val="es-MX"/>
        </w:rPr>
        <w:t xml:space="preserve"> formulación de </w:t>
      </w:r>
      <w:r w:rsidR="00605D46">
        <w:rPr>
          <w:rFonts w:ascii="Arial" w:hAnsi="Arial" w:cs="Arial"/>
          <w:lang w:val="es-MX"/>
        </w:rPr>
        <w:t>sus m</w:t>
      </w:r>
      <w:r w:rsidRPr="001526EB">
        <w:rPr>
          <w:rFonts w:ascii="Arial" w:hAnsi="Arial" w:cs="Arial"/>
          <w:lang w:val="es-MX"/>
        </w:rPr>
        <w:t xml:space="preserve">etas </w:t>
      </w:r>
      <w:r w:rsidR="00605D46">
        <w:rPr>
          <w:rFonts w:ascii="Arial" w:hAnsi="Arial" w:cs="Arial"/>
          <w:lang w:val="es-MX"/>
        </w:rPr>
        <w:t xml:space="preserve">e </w:t>
      </w:r>
      <w:r w:rsidRPr="001526EB">
        <w:rPr>
          <w:rFonts w:ascii="Arial" w:hAnsi="Arial" w:cs="Arial"/>
          <w:lang w:val="es-MX"/>
        </w:rPr>
        <w:t xml:space="preserve">indicadores que han sido validados por </w:t>
      </w:r>
      <w:r w:rsidR="00605D46">
        <w:rPr>
          <w:rFonts w:ascii="Arial" w:hAnsi="Arial" w:cs="Arial"/>
          <w:lang w:val="es-MX"/>
        </w:rPr>
        <w:t xml:space="preserve">todos </w:t>
      </w:r>
      <w:r w:rsidRPr="001526EB">
        <w:rPr>
          <w:rFonts w:ascii="Arial" w:hAnsi="Arial" w:cs="Arial"/>
          <w:lang w:val="es-MX"/>
        </w:rPr>
        <w:t xml:space="preserve">los países. Las Metas UNASUR </w:t>
      </w:r>
      <w:r w:rsidR="00605D46">
        <w:rPr>
          <w:rFonts w:ascii="Arial" w:hAnsi="Arial" w:cs="Arial"/>
          <w:lang w:val="es-MX"/>
        </w:rPr>
        <w:t xml:space="preserve">también presentan </w:t>
      </w:r>
      <w:r w:rsidRPr="00E064B5">
        <w:rPr>
          <w:rFonts w:ascii="Arial" w:hAnsi="Arial" w:cs="Arial"/>
          <w:lang w:val="es-MX"/>
        </w:rPr>
        <w:t xml:space="preserve">un desarrollo interesante en términos de </w:t>
      </w:r>
      <w:r w:rsidR="00605D46">
        <w:rPr>
          <w:rFonts w:ascii="Arial" w:hAnsi="Arial" w:cs="Arial"/>
          <w:lang w:val="es-MX"/>
        </w:rPr>
        <w:t>m</w:t>
      </w:r>
      <w:r w:rsidRPr="00E064B5">
        <w:rPr>
          <w:rFonts w:ascii="Arial" w:hAnsi="Arial" w:cs="Arial"/>
          <w:lang w:val="es-MX"/>
        </w:rPr>
        <w:t xml:space="preserve">etas e </w:t>
      </w:r>
      <w:r w:rsidR="00605D46">
        <w:rPr>
          <w:rFonts w:ascii="Arial" w:hAnsi="Arial" w:cs="Arial"/>
          <w:lang w:val="es-MX"/>
        </w:rPr>
        <w:t>i</w:t>
      </w:r>
      <w:r w:rsidRPr="00E064B5">
        <w:rPr>
          <w:rFonts w:ascii="Arial" w:hAnsi="Arial" w:cs="Arial"/>
          <w:lang w:val="es-MX"/>
        </w:rPr>
        <w:t xml:space="preserve">ndicadores, y el Protocolo de San Salvador </w:t>
      </w:r>
      <w:r w:rsidR="00605D46">
        <w:rPr>
          <w:rFonts w:ascii="Arial" w:hAnsi="Arial" w:cs="Arial"/>
          <w:lang w:val="es-MX"/>
        </w:rPr>
        <w:t>registra</w:t>
      </w:r>
      <w:r w:rsidRPr="00E064B5">
        <w:rPr>
          <w:rFonts w:ascii="Arial" w:hAnsi="Arial" w:cs="Arial"/>
          <w:lang w:val="es-MX"/>
        </w:rPr>
        <w:t xml:space="preserve"> indicadores m</w:t>
      </w:r>
      <w:r w:rsidR="00605D46">
        <w:rPr>
          <w:rFonts w:ascii="Arial" w:hAnsi="Arial" w:cs="Arial"/>
          <w:lang w:val="es-MX"/>
        </w:rPr>
        <w:t>ás</w:t>
      </w:r>
      <w:r w:rsidRPr="00E064B5">
        <w:rPr>
          <w:rFonts w:ascii="Arial" w:hAnsi="Arial" w:cs="Arial"/>
          <w:lang w:val="es-MX"/>
        </w:rPr>
        <w:t xml:space="preserve"> ampli</w:t>
      </w:r>
      <w:r w:rsidR="00605D46">
        <w:rPr>
          <w:rFonts w:ascii="Arial" w:hAnsi="Arial" w:cs="Arial"/>
          <w:lang w:val="es-MX"/>
        </w:rPr>
        <w:t>os</w:t>
      </w:r>
      <w:r w:rsidRPr="00E064B5">
        <w:rPr>
          <w:rFonts w:ascii="Arial" w:hAnsi="Arial" w:cs="Arial"/>
          <w:lang w:val="es-MX"/>
        </w:rPr>
        <w:t xml:space="preserve"> y abarcador</w:t>
      </w:r>
      <w:r w:rsidR="00605D46">
        <w:rPr>
          <w:rFonts w:ascii="Arial" w:hAnsi="Arial" w:cs="Arial"/>
          <w:lang w:val="es-MX"/>
        </w:rPr>
        <w:t>es, que algunos consideran de</w:t>
      </w:r>
      <w:r w:rsidRPr="00E064B5">
        <w:rPr>
          <w:rFonts w:ascii="Arial" w:hAnsi="Arial" w:cs="Arial"/>
          <w:lang w:val="es-MX"/>
        </w:rPr>
        <w:t xml:space="preserve"> difícil implementación. </w:t>
      </w:r>
    </w:p>
    <w:p w14:paraId="32381F51" w14:textId="2A040E94" w:rsidR="009C3094" w:rsidRPr="001526EB" w:rsidRDefault="009C3094" w:rsidP="00577500">
      <w:pPr>
        <w:jc w:val="both"/>
        <w:rPr>
          <w:rFonts w:ascii="Arial" w:hAnsi="Arial" w:cs="Arial"/>
          <w:lang w:val="es-MX"/>
        </w:rPr>
      </w:pPr>
      <w:r w:rsidRPr="00E064B5">
        <w:rPr>
          <w:rFonts w:ascii="Arial" w:hAnsi="Arial" w:cs="Arial"/>
          <w:lang w:val="es-MX"/>
        </w:rPr>
        <w:t xml:space="preserve">En cuanto a los instrumentos de Evaluación y Seguimiento, </w:t>
      </w:r>
      <w:r w:rsidR="00165F51" w:rsidRPr="00E064B5">
        <w:rPr>
          <w:rFonts w:ascii="Arial" w:hAnsi="Arial" w:cs="Arial"/>
          <w:lang w:val="es-MX"/>
        </w:rPr>
        <w:t xml:space="preserve">se pueden </w:t>
      </w:r>
      <w:r w:rsidRPr="00E064B5">
        <w:rPr>
          <w:rFonts w:ascii="Arial" w:hAnsi="Arial" w:cs="Arial"/>
          <w:lang w:val="es-MX"/>
        </w:rPr>
        <w:t>identificar algunas variantes. Los instrumentos OEA se apoyan en los sistemas de Reportes Nacionales periódicos, en los que cada país es responsable de la elaboración de sus informes nacionales y elevarlos al ámbito técnico interamericano que hace su contraparte. Este proceso aparece claramente reglamentado en</w:t>
      </w:r>
      <w:r w:rsidRPr="00256FCE">
        <w:rPr>
          <w:rFonts w:ascii="Arial" w:hAnsi="Arial" w:cs="Arial"/>
          <w:lang w:val="es-MX"/>
        </w:rPr>
        <w:t xml:space="preserve"> torno al Protocolo de San Salvador, el cual det</w:t>
      </w:r>
      <w:r w:rsidRPr="001526EB">
        <w:rPr>
          <w:rFonts w:ascii="Arial" w:hAnsi="Arial" w:cs="Arial"/>
          <w:lang w:val="es-MX"/>
        </w:rPr>
        <w:t xml:space="preserve">ermina la periodicidad, amplitud y contenidos de los informes. Estos informes pueden generar recomendaciones de trabajo a los países. </w:t>
      </w:r>
    </w:p>
    <w:p w14:paraId="1B563C00" w14:textId="77777777" w:rsidR="008B6758" w:rsidRDefault="009C3094" w:rsidP="00F0232B">
      <w:pPr>
        <w:jc w:val="both"/>
        <w:rPr>
          <w:rFonts w:ascii="Arial" w:hAnsi="Arial" w:cs="Arial"/>
          <w:lang w:val="es-MX"/>
        </w:rPr>
      </w:pPr>
      <w:r w:rsidRPr="00E064B5">
        <w:rPr>
          <w:rFonts w:ascii="Arial" w:hAnsi="Arial" w:cs="Arial"/>
          <w:lang w:val="es-MX"/>
        </w:rPr>
        <w:t>En el caso de los ODS, el proceso no aparece todavía claramente reglamentado, aunque se estima que el mismo seguirá el proceso de los Objetivos del Milenio. En varios aspectos es muy similar al que se aplica en el ámbito OEA, con sistema de reportes nacionales periódicos.</w:t>
      </w:r>
      <w:r w:rsidRPr="00256FCE">
        <w:rPr>
          <w:rFonts w:ascii="Arial" w:hAnsi="Arial" w:cs="Arial"/>
          <w:lang w:val="es-MX"/>
        </w:rPr>
        <w:t xml:space="preserve"> Las oficinas técnicas nacionales del </w:t>
      </w:r>
      <w:r w:rsidR="00165F51" w:rsidRPr="00256FCE">
        <w:rPr>
          <w:rFonts w:ascii="Arial" w:hAnsi="Arial" w:cs="Arial"/>
          <w:lang w:val="es-MX"/>
        </w:rPr>
        <w:t>Programa de las Naciones Unidas para el Desarrollo (</w:t>
      </w:r>
      <w:r w:rsidRPr="001526EB">
        <w:rPr>
          <w:rFonts w:ascii="Arial" w:hAnsi="Arial" w:cs="Arial"/>
          <w:lang w:val="es-MX"/>
        </w:rPr>
        <w:t>PNUD</w:t>
      </w:r>
      <w:r w:rsidR="00165F51" w:rsidRPr="001526EB">
        <w:rPr>
          <w:rFonts w:ascii="Arial" w:hAnsi="Arial" w:cs="Arial"/>
          <w:lang w:val="es-MX"/>
        </w:rPr>
        <w:t>)</w:t>
      </w:r>
      <w:r w:rsidRPr="001526EB">
        <w:rPr>
          <w:rFonts w:ascii="Arial" w:hAnsi="Arial" w:cs="Arial"/>
          <w:lang w:val="es-MX"/>
        </w:rPr>
        <w:t xml:space="preserve"> tienen un rol activo como contraparte en este proceso. Estos i</w:t>
      </w:r>
      <w:r w:rsidRPr="00E53DFE">
        <w:rPr>
          <w:rFonts w:ascii="Arial" w:hAnsi="Arial" w:cs="Arial"/>
          <w:lang w:val="es-MX"/>
        </w:rPr>
        <w:t xml:space="preserve">nformes tienen además un desarrollo cuantitativo y cualitativo muy importante, y sobre esta base se activa el sistema Naciones Unidad de Cooperación Técnica con los países. El sistema PNUD, además de su prolijidad </w:t>
      </w:r>
      <w:r w:rsidR="00596AC4" w:rsidRPr="00E53DFE">
        <w:rPr>
          <w:rFonts w:ascii="Arial" w:hAnsi="Arial" w:cs="Arial"/>
          <w:lang w:val="es-MX"/>
        </w:rPr>
        <w:t>metodológica</w:t>
      </w:r>
      <w:r w:rsidRPr="005B2BF2">
        <w:rPr>
          <w:rFonts w:ascii="Arial" w:hAnsi="Arial" w:cs="Arial"/>
          <w:lang w:val="es-MX"/>
        </w:rPr>
        <w:t>, posee la enorme fortaleza de</w:t>
      </w:r>
      <w:r w:rsidRPr="00256FCE">
        <w:rPr>
          <w:rFonts w:ascii="Arial" w:hAnsi="Arial" w:cs="Arial"/>
          <w:lang w:val="es-MX"/>
        </w:rPr>
        <w:t xml:space="preserve"> conectar y facilitar la asistencia técnica y los procesos de cooperación con otras agencias de desarrollo. </w:t>
      </w:r>
    </w:p>
    <w:p w14:paraId="36F0CD3B" w14:textId="6DC0DFCA" w:rsidR="00256FCE" w:rsidRPr="00201D7E" w:rsidRDefault="00256FCE" w:rsidP="00F0232B">
      <w:pPr>
        <w:jc w:val="both"/>
        <w:rPr>
          <w:rFonts w:ascii="Arial" w:hAnsi="Arial" w:cs="Arial"/>
          <w:lang w:val="es-MX"/>
        </w:rPr>
      </w:pPr>
      <w:r w:rsidRPr="00256FCE">
        <w:rPr>
          <w:rFonts w:ascii="Arial" w:hAnsi="Arial" w:cs="Arial"/>
          <w:lang w:val="es-MX"/>
        </w:rPr>
        <w:t>La Comisión Económica para América Latina y el Caribe (CEPAL) tiene también un papel clave en materia de asistencia técnica a los gobiernos del subcontinente. En su seno, se constituyó el Grupo de Coordinación Estadística para la Agenda 2030 en América Latina y el Caribe</w:t>
      </w:r>
      <w:r>
        <w:rPr>
          <w:rFonts w:ascii="Arial" w:hAnsi="Arial" w:cs="Arial"/>
          <w:lang w:val="es-MX"/>
        </w:rPr>
        <w:t xml:space="preserve"> que </w:t>
      </w:r>
      <w:r w:rsidRPr="00256FCE">
        <w:rPr>
          <w:rFonts w:ascii="Arial" w:hAnsi="Arial" w:cs="Arial"/>
          <w:lang w:val="es-MX"/>
        </w:rPr>
        <w:t>tiene como objetivo coordinar el proceso de elaboración e implementación de los indicadores regionales y el desarrollo de capacidades en el marco de</w:t>
      </w:r>
      <w:r>
        <w:rPr>
          <w:rFonts w:ascii="Arial" w:hAnsi="Arial" w:cs="Arial"/>
          <w:lang w:val="es-MX"/>
        </w:rPr>
        <w:t>l</w:t>
      </w:r>
      <w:r w:rsidRPr="00256FCE">
        <w:rPr>
          <w:rFonts w:ascii="Arial" w:hAnsi="Arial" w:cs="Arial"/>
          <w:lang w:val="es-MX"/>
        </w:rPr>
        <w:t xml:space="preserve"> seguimiento de los ODS para </w:t>
      </w:r>
      <w:r>
        <w:rPr>
          <w:rFonts w:ascii="Arial" w:hAnsi="Arial" w:cs="Arial"/>
          <w:lang w:val="es-MX"/>
        </w:rPr>
        <w:t>la región</w:t>
      </w:r>
      <w:r w:rsidRPr="00256FCE">
        <w:rPr>
          <w:rFonts w:ascii="Arial" w:hAnsi="Arial" w:cs="Arial"/>
          <w:lang w:val="es-MX"/>
        </w:rPr>
        <w:t>. El Grupo</w:t>
      </w:r>
      <w:r>
        <w:rPr>
          <w:rFonts w:ascii="Arial" w:hAnsi="Arial" w:cs="Arial"/>
          <w:lang w:val="es-MX"/>
        </w:rPr>
        <w:t xml:space="preserve">, del que además participa </w:t>
      </w:r>
      <w:r w:rsidRPr="00256FCE">
        <w:rPr>
          <w:rFonts w:ascii="Arial" w:hAnsi="Arial" w:cs="Arial"/>
          <w:lang w:val="es-MX"/>
        </w:rPr>
        <w:t xml:space="preserve">la </w:t>
      </w:r>
      <w:r>
        <w:rPr>
          <w:rFonts w:ascii="Arial" w:hAnsi="Arial" w:cs="Arial"/>
          <w:lang w:val="es-MX"/>
        </w:rPr>
        <w:t xml:space="preserve">Conferencia de Estadística de las Américas (CEA), </w:t>
      </w:r>
      <w:r w:rsidRPr="00256FCE">
        <w:rPr>
          <w:rFonts w:ascii="Arial" w:hAnsi="Arial" w:cs="Arial"/>
          <w:lang w:val="es-MX"/>
        </w:rPr>
        <w:t>desarrolla sus actividades en concordancia con la labor del Grupo Interinstitucional de Expertos sobre los Indicadores de los Objetivos de Desarrollo Sostenible (IAEG-SDG) y con las actividades y decisiones del Grupo de Alto Nivel de Colaboración, Coordinación y Fomento de la Capacidad en materia de Estadística para la Agenda 2030 para el Desarrollo Sostenible (HLG-PCCB).</w:t>
      </w:r>
    </w:p>
    <w:p w14:paraId="1216A315" w14:textId="7CB6CC21" w:rsidR="00B91A6E" w:rsidRDefault="008B6758">
      <w:pPr>
        <w:jc w:val="both"/>
        <w:rPr>
          <w:rFonts w:ascii="Arial" w:hAnsi="Arial" w:cs="Arial"/>
          <w:lang w:val="es-MX"/>
        </w:rPr>
      </w:pPr>
      <w:r>
        <w:rPr>
          <w:rFonts w:ascii="Arial" w:hAnsi="Arial" w:cs="Arial"/>
          <w:lang w:val="es-MX"/>
        </w:rPr>
        <w:t xml:space="preserve">En síntesis, el PEAS demuestra un interesante grado de convergencia y flexibilidad para incorporar las diversas líneas de cooperación que se desprenden de las agendas </w:t>
      </w:r>
      <w:r>
        <w:rPr>
          <w:rFonts w:ascii="Arial" w:hAnsi="Arial" w:cs="Arial"/>
          <w:lang w:val="es-MX"/>
        </w:rPr>
        <w:lastRenderedPageBreak/>
        <w:t>globales del desarrollo</w:t>
      </w:r>
      <w:r w:rsidR="00B91A6E">
        <w:rPr>
          <w:rFonts w:ascii="Arial" w:hAnsi="Arial" w:cs="Arial"/>
          <w:lang w:val="es-MX"/>
        </w:rPr>
        <w:t xml:space="preserve"> y, al mismo tiempo, es</w:t>
      </w:r>
      <w:r>
        <w:rPr>
          <w:rFonts w:ascii="Arial" w:hAnsi="Arial" w:cs="Arial"/>
          <w:lang w:val="es-MX"/>
        </w:rPr>
        <w:t xml:space="preserve"> un instrumento de </w:t>
      </w:r>
      <w:r w:rsidR="00B91A6E">
        <w:rPr>
          <w:rFonts w:ascii="Arial" w:hAnsi="Arial" w:cs="Arial"/>
          <w:lang w:val="es-MX"/>
        </w:rPr>
        <w:t xml:space="preserve">planificación y </w:t>
      </w:r>
      <w:r>
        <w:rPr>
          <w:rFonts w:ascii="Arial" w:hAnsi="Arial" w:cs="Arial"/>
          <w:lang w:val="es-MX"/>
        </w:rPr>
        <w:t xml:space="preserve">coordinación </w:t>
      </w:r>
      <w:r w:rsidR="00B91A6E">
        <w:rPr>
          <w:rFonts w:ascii="Arial" w:hAnsi="Arial" w:cs="Arial"/>
          <w:lang w:val="es-MX"/>
        </w:rPr>
        <w:t xml:space="preserve">ampliamente legitimado por </w:t>
      </w:r>
      <w:r>
        <w:rPr>
          <w:rFonts w:ascii="Arial" w:hAnsi="Arial" w:cs="Arial"/>
          <w:lang w:val="es-MX"/>
        </w:rPr>
        <w:t>los países del MERCOSUR</w:t>
      </w:r>
      <w:r w:rsidR="00B91A6E">
        <w:rPr>
          <w:rFonts w:ascii="Arial" w:hAnsi="Arial" w:cs="Arial"/>
          <w:lang w:val="es-MX"/>
        </w:rPr>
        <w:t>.</w:t>
      </w:r>
    </w:p>
    <w:p w14:paraId="2611095C" w14:textId="59297A2E" w:rsidR="009C3094" w:rsidRPr="00201D7E" w:rsidRDefault="009C3094">
      <w:pPr>
        <w:jc w:val="both"/>
        <w:rPr>
          <w:rFonts w:ascii="Arial" w:hAnsi="Arial" w:cs="Arial"/>
          <w:lang w:val="es-MX"/>
        </w:rPr>
      </w:pPr>
    </w:p>
    <w:p w14:paraId="76A0E02A" w14:textId="77777777" w:rsidR="0042743A" w:rsidRPr="00E064B5" w:rsidRDefault="0042743A">
      <w:pPr>
        <w:jc w:val="both"/>
        <w:rPr>
          <w:rFonts w:ascii="Arial" w:hAnsi="Arial" w:cs="Arial"/>
          <w:b/>
          <w:lang w:val="es-MX"/>
        </w:rPr>
      </w:pPr>
      <w:r w:rsidRPr="00201D7E">
        <w:rPr>
          <w:rFonts w:ascii="Arial" w:hAnsi="Arial" w:cs="Arial"/>
          <w:lang w:val="es-MX"/>
        </w:rPr>
        <w:t>5</w:t>
      </w:r>
      <w:r w:rsidRPr="00E064B5">
        <w:rPr>
          <w:rFonts w:ascii="Arial" w:hAnsi="Arial" w:cs="Arial"/>
          <w:b/>
          <w:lang w:val="es-MX"/>
        </w:rPr>
        <w:t>.- Intersectorialidad</w:t>
      </w:r>
    </w:p>
    <w:p w14:paraId="14C4B1FB" w14:textId="275AEC62" w:rsidR="0042743A" w:rsidRDefault="0042743A">
      <w:pPr>
        <w:jc w:val="both"/>
        <w:rPr>
          <w:rFonts w:ascii="Arial" w:hAnsi="Arial" w:cs="Arial"/>
          <w:sz w:val="24"/>
          <w:lang w:val="es-ES_tradnl"/>
        </w:rPr>
      </w:pPr>
      <w:r w:rsidRPr="00E064B5">
        <w:rPr>
          <w:rFonts w:ascii="Arial" w:hAnsi="Arial" w:cs="Arial"/>
          <w:sz w:val="24"/>
        </w:rPr>
        <w:t>La Agenda 2030 reafirma el interés en la colaboración intersectorial en su ODS 17</w:t>
      </w:r>
      <w:r w:rsidR="000C6E07" w:rsidRPr="002E5E87">
        <w:rPr>
          <w:rFonts w:ascii="Arial" w:hAnsi="Arial" w:cs="Arial"/>
          <w:sz w:val="24"/>
        </w:rPr>
        <w:t xml:space="preserve"> que busca</w:t>
      </w:r>
      <w:r w:rsidRPr="00E064B5">
        <w:rPr>
          <w:rFonts w:ascii="Arial" w:hAnsi="Arial" w:cs="Arial"/>
          <w:sz w:val="24"/>
        </w:rPr>
        <w:t xml:space="preserve"> Re</w:t>
      </w:r>
      <w:r w:rsidR="00811C70" w:rsidRPr="00E064B5">
        <w:rPr>
          <w:rFonts w:ascii="Arial" w:hAnsi="Arial" w:cs="Arial"/>
          <w:sz w:val="24"/>
        </w:rPr>
        <w:t>vitalizar</w:t>
      </w:r>
      <w:r w:rsidRPr="00E064B5">
        <w:rPr>
          <w:rFonts w:ascii="Arial" w:hAnsi="Arial" w:cs="Arial"/>
          <w:sz w:val="24"/>
        </w:rPr>
        <w:t xml:space="preserve"> la Alianza Mundial para el </w:t>
      </w:r>
      <w:r w:rsidR="00C42AC4" w:rsidRPr="00E064B5">
        <w:rPr>
          <w:rFonts w:ascii="Arial" w:hAnsi="Arial" w:cs="Arial"/>
          <w:sz w:val="24"/>
        </w:rPr>
        <w:t>Desarrollo</w:t>
      </w:r>
      <w:r w:rsidRPr="00E064B5">
        <w:rPr>
          <w:rFonts w:ascii="Arial" w:hAnsi="Arial" w:cs="Arial"/>
          <w:sz w:val="24"/>
        </w:rPr>
        <w:t xml:space="preserve"> Sostenible, en donde se reafirma que “p</w:t>
      </w:r>
      <w:r w:rsidRPr="00E064B5">
        <w:rPr>
          <w:rFonts w:ascii="Arial" w:hAnsi="Arial" w:cs="Arial"/>
          <w:bCs/>
          <w:iCs/>
          <w:sz w:val="24"/>
          <w:lang w:val="es-ES_tradnl"/>
        </w:rPr>
        <w:t xml:space="preserve">ara que una agenda de desarrollo sostenible sea eficaz se necesitan alianzas entre los gobiernos, el sector privado y la sociedad civil”. </w:t>
      </w:r>
      <w:r w:rsidRPr="00E064B5">
        <w:rPr>
          <w:rFonts w:ascii="Arial" w:hAnsi="Arial" w:cs="Arial"/>
          <w:sz w:val="24"/>
          <w:lang w:val="es-ES_tradnl"/>
        </w:rPr>
        <w:t>En este mismo sentido, cabe también recordar el papel de los procesos de integración regional en el cumplimiento de los ODS. La Declaración final de las Naciones Unidas mediante la que se aprueba la Agenda 2030 reconoce “la importancia que para el desarrollo sostenible tienen las dimensiones regionales y subregionales, la integración económica regional y la interconectividad. Los marcos regionales y subregionales pueden hacer que sea más fácil traducir efectivamente las políticas de desarrollo sostenible en medidas concretas a nivel nacional”.</w:t>
      </w:r>
    </w:p>
    <w:p w14:paraId="57F66FDE" w14:textId="77777777" w:rsidR="000C6E07" w:rsidRDefault="001F6336" w:rsidP="001F6336">
      <w:pPr>
        <w:jc w:val="both"/>
        <w:rPr>
          <w:rFonts w:ascii="Arial" w:hAnsi="Arial" w:cs="Arial"/>
          <w:lang w:val="es-MX"/>
        </w:rPr>
      </w:pPr>
      <w:r w:rsidRPr="001F6336">
        <w:rPr>
          <w:rFonts w:ascii="Arial" w:hAnsi="Arial" w:cs="Arial"/>
          <w:lang w:val="es-MX"/>
        </w:rPr>
        <w:t>La intersectorialidad requiere</w:t>
      </w:r>
      <w:r w:rsidR="000C6E07">
        <w:rPr>
          <w:rFonts w:ascii="Arial" w:hAnsi="Arial" w:cs="Arial"/>
          <w:lang w:val="es-MX"/>
        </w:rPr>
        <w:t>, por tanto,</w:t>
      </w:r>
      <w:r w:rsidRPr="001F6336">
        <w:rPr>
          <w:rFonts w:ascii="Arial" w:hAnsi="Arial" w:cs="Arial"/>
          <w:lang w:val="es-MX"/>
        </w:rPr>
        <w:t xml:space="preserve"> de una serie de arreglos estratégicos entre diferentes institucionales. De acuerdo con Rodrik (2004), “los arreglos institucionales pertinentes para el desarrollo de una política </w:t>
      </w:r>
      <w:r w:rsidR="000C6E07">
        <w:rPr>
          <w:rFonts w:ascii="Arial" w:hAnsi="Arial" w:cs="Arial"/>
          <w:lang w:val="es-MX"/>
        </w:rPr>
        <w:t xml:space="preserve">(…) </w:t>
      </w:r>
      <w:r w:rsidRPr="001F6336">
        <w:rPr>
          <w:rFonts w:ascii="Arial" w:hAnsi="Arial" w:cs="Arial"/>
          <w:lang w:val="es-MX"/>
        </w:rPr>
        <w:t xml:space="preserve">necesitan cumplir con ciertas condiciones de éxito como el liderazgo político que acompañe el proceso multiactor propuesto y brinde decisiones de respaldo coherentes con el fortalecimiento de los sectores en estudio; también es necesario contar con transparencia y rendición de cuentas que reivindiquen la confianza de todos los actores </w:t>
      </w:r>
      <w:r w:rsidR="000C6E07">
        <w:rPr>
          <w:rFonts w:ascii="Arial" w:hAnsi="Arial" w:cs="Arial"/>
          <w:lang w:val="es-MX"/>
        </w:rPr>
        <w:t>(…)</w:t>
      </w:r>
      <w:r w:rsidRPr="001F6336">
        <w:rPr>
          <w:rFonts w:ascii="Arial" w:hAnsi="Arial" w:cs="Arial"/>
          <w:lang w:val="es-MX"/>
        </w:rPr>
        <w:t xml:space="preserve"> sobre los procesos y las estrategias en desarrollo, independientemente de su poder de negociación o tamaño en materia de gobernanza”</w:t>
      </w:r>
      <w:r>
        <w:rPr>
          <w:rFonts w:ascii="Arial" w:hAnsi="Arial" w:cs="Arial"/>
          <w:lang w:val="es-MX"/>
        </w:rPr>
        <w:t>.</w:t>
      </w:r>
      <w:r w:rsidR="000C6E07">
        <w:rPr>
          <w:rFonts w:ascii="Arial" w:hAnsi="Arial" w:cs="Arial"/>
          <w:lang w:val="es-MX"/>
        </w:rPr>
        <w:t xml:space="preserve"> </w:t>
      </w:r>
      <w:r w:rsidRPr="001F6336">
        <w:rPr>
          <w:rFonts w:ascii="Arial" w:hAnsi="Arial" w:cs="Arial"/>
          <w:lang w:val="es-MX"/>
        </w:rPr>
        <w:t xml:space="preserve">El concepto de intersectorialidad se define como la “intervención coordinada de instituciones representativas de más de un sector, en acciones destinadas, total o parcialmente, a tratar los problemas vinculados o conjuntos” (FLACSO, 2015). </w:t>
      </w:r>
    </w:p>
    <w:p w14:paraId="7E076B2C" w14:textId="77777777" w:rsidR="008B6758" w:rsidRDefault="000C6E07" w:rsidP="005D1F20">
      <w:pPr>
        <w:jc w:val="both"/>
        <w:rPr>
          <w:rFonts w:ascii="Arial" w:hAnsi="Arial" w:cs="Arial"/>
          <w:lang w:val="es-MX"/>
        </w:rPr>
      </w:pPr>
      <w:r w:rsidRPr="001F6336">
        <w:rPr>
          <w:rFonts w:ascii="Arial" w:hAnsi="Arial" w:cs="Arial"/>
          <w:lang w:val="es-MX"/>
        </w:rPr>
        <w:t xml:space="preserve">El establecimiento de diálogos intersectoriales para una buena gobernanza incluyen: 1) la generación, acumulación y circulación de flujo de información y conocimiento que permiten procesos de sensibilización de los actores y la construcción de un lenguaje común; 2) la capacidad para introducir innovaciones sociales, institucionales y culturales; 3) la articulación intersectorial de estrategias, políticas y programas públicos con la participación de distintitas instituciones regionales; y 4) la implementación de políticas y programas creados </w:t>
      </w:r>
      <w:r>
        <w:rPr>
          <w:rFonts w:ascii="Arial" w:hAnsi="Arial" w:cs="Arial"/>
          <w:lang w:val="es-MX"/>
        </w:rPr>
        <w:t xml:space="preserve">interinstitucionalmente </w:t>
      </w:r>
      <w:r w:rsidRPr="001F6336">
        <w:rPr>
          <w:rFonts w:ascii="Arial" w:hAnsi="Arial" w:cs="Arial"/>
          <w:lang w:val="es-MX"/>
        </w:rPr>
        <w:t xml:space="preserve">desde la fase de planificación </w:t>
      </w:r>
      <w:r>
        <w:rPr>
          <w:rFonts w:ascii="Arial" w:hAnsi="Arial" w:cs="Arial"/>
          <w:lang w:val="es-MX"/>
        </w:rPr>
        <w:t>hasta lograr un</w:t>
      </w:r>
      <w:r w:rsidRPr="001F6336">
        <w:rPr>
          <w:rFonts w:ascii="Arial" w:hAnsi="Arial" w:cs="Arial"/>
          <w:lang w:val="es-MX"/>
        </w:rPr>
        <w:t xml:space="preserve"> financiamiento conjunto. </w:t>
      </w:r>
      <w:r w:rsidR="00380CC8" w:rsidRPr="00380CC8">
        <w:rPr>
          <w:rFonts w:ascii="Arial" w:hAnsi="Arial" w:cs="Arial"/>
          <w:lang w:val="es-MX"/>
        </w:rPr>
        <w:t xml:space="preserve">Por último, es necesario </w:t>
      </w:r>
      <w:r w:rsidR="00380CC8">
        <w:rPr>
          <w:rFonts w:ascii="Arial" w:hAnsi="Arial" w:cs="Arial"/>
          <w:lang w:val="es-MX"/>
        </w:rPr>
        <w:t>igualmente</w:t>
      </w:r>
      <w:r w:rsidR="00380CC8" w:rsidRPr="00380CC8">
        <w:rPr>
          <w:rFonts w:ascii="Arial" w:hAnsi="Arial" w:cs="Arial"/>
          <w:lang w:val="es-MX"/>
        </w:rPr>
        <w:t xml:space="preserve"> contemplar un mecanismo de “distribución de beneficios” a partir de la articulación de estructuras institucionales e instrumentos de financiamiento mediante los que se distribuyan los fondos y otros beneficios derivados de implementar las innovaciones (Lutrell y otros, 2012)</w:t>
      </w:r>
      <w:r w:rsidR="00380CC8">
        <w:rPr>
          <w:rFonts w:ascii="Arial" w:hAnsi="Arial" w:cs="Arial"/>
          <w:lang w:val="es-MX"/>
        </w:rPr>
        <w:t>.</w:t>
      </w:r>
    </w:p>
    <w:p w14:paraId="0F3F850E" w14:textId="0D6038DC" w:rsidR="007A768B" w:rsidRDefault="005D1F20" w:rsidP="005D1F20">
      <w:pPr>
        <w:jc w:val="both"/>
        <w:rPr>
          <w:rFonts w:ascii="Arial" w:hAnsi="Arial" w:cs="Arial"/>
        </w:rPr>
      </w:pPr>
      <w:r>
        <w:rPr>
          <w:rFonts w:ascii="Arial" w:hAnsi="Arial" w:cs="Arial"/>
        </w:rPr>
        <w:t>E</w:t>
      </w:r>
      <w:r w:rsidR="008B6758">
        <w:rPr>
          <w:rFonts w:ascii="Arial" w:hAnsi="Arial" w:cs="Arial"/>
        </w:rPr>
        <w:t xml:space="preserve">n el campo del MERCOSUR, </w:t>
      </w:r>
      <w:r w:rsidR="00970D3A">
        <w:rPr>
          <w:rFonts w:ascii="Arial" w:hAnsi="Arial" w:cs="Arial"/>
        </w:rPr>
        <w:t xml:space="preserve">es importante anotar que una institución como </w:t>
      </w:r>
      <w:r w:rsidR="008B6758">
        <w:rPr>
          <w:rFonts w:ascii="Arial" w:hAnsi="Arial" w:cs="Arial"/>
        </w:rPr>
        <w:t>e</w:t>
      </w:r>
      <w:r>
        <w:rPr>
          <w:rFonts w:ascii="Arial" w:hAnsi="Arial" w:cs="Arial"/>
        </w:rPr>
        <w:t xml:space="preserve">l </w:t>
      </w:r>
      <w:r w:rsidR="00305268">
        <w:rPr>
          <w:rFonts w:ascii="Arial" w:hAnsi="Arial" w:cs="Arial"/>
        </w:rPr>
        <w:t>PARLASUR</w:t>
      </w:r>
      <w:r>
        <w:rPr>
          <w:rFonts w:ascii="Arial" w:hAnsi="Arial" w:cs="Arial"/>
        </w:rPr>
        <w:t xml:space="preserve"> ha </w:t>
      </w:r>
      <w:r w:rsidR="00970D3A">
        <w:rPr>
          <w:rFonts w:ascii="Arial" w:hAnsi="Arial" w:cs="Arial"/>
        </w:rPr>
        <w:t>destacado</w:t>
      </w:r>
      <w:r>
        <w:rPr>
          <w:rFonts w:ascii="Arial" w:hAnsi="Arial" w:cs="Arial"/>
        </w:rPr>
        <w:t xml:space="preserve"> los instrumentos principales creados a lo largo de los últimos años para dar respuesta a los desafíos que plantea la implementación de l</w:t>
      </w:r>
      <w:r w:rsidR="00970D3A">
        <w:rPr>
          <w:rFonts w:ascii="Arial" w:hAnsi="Arial" w:cs="Arial"/>
        </w:rPr>
        <w:t>os ODS</w:t>
      </w:r>
      <w:r>
        <w:rPr>
          <w:rFonts w:ascii="Arial" w:hAnsi="Arial" w:cs="Arial"/>
        </w:rPr>
        <w:t xml:space="preserve"> 2030</w:t>
      </w:r>
      <w:r w:rsidR="00970D3A">
        <w:rPr>
          <w:rFonts w:ascii="Arial" w:hAnsi="Arial" w:cs="Arial"/>
        </w:rPr>
        <w:t xml:space="preserve">. </w:t>
      </w:r>
      <w:r w:rsidR="00970D3A">
        <w:rPr>
          <w:rFonts w:ascii="Arial" w:hAnsi="Arial" w:cs="Arial"/>
        </w:rPr>
        <w:lastRenderedPageBreak/>
        <w:t xml:space="preserve">Destacan en particular </w:t>
      </w:r>
      <w:r w:rsidR="007A768B">
        <w:rPr>
          <w:rFonts w:ascii="Arial" w:hAnsi="Arial" w:cs="Arial"/>
        </w:rPr>
        <w:t>e</w:t>
      </w:r>
      <w:r w:rsidR="007A768B" w:rsidRPr="0076656B">
        <w:rPr>
          <w:rFonts w:ascii="Arial" w:hAnsi="Arial" w:cs="Arial"/>
        </w:rPr>
        <w:t>l</w:t>
      </w:r>
      <w:r w:rsidR="007A768B">
        <w:rPr>
          <w:rFonts w:ascii="Arial" w:hAnsi="Arial" w:cs="Arial"/>
        </w:rPr>
        <w:t xml:space="preserve"> </w:t>
      </w:r>
      <w:r w:rsidR="00970D3A">
        <w:rPr>
          <w:rFonts w:ascii="Arial" w:hAnsi="Arial" w:cs="Arial"/>
        </w:rPr>
        <w:t xml:space="preserve">papel del </w:t>
      </w:r>
      <w:r w:rsidR="007A768B" w:rsidRPr="0076656B">
        <w:rPr>
          <w:rFonts w:ascii="Arial" w:hAnsi="Arial" w:cs="Arial"/>
        </w:rPr>
        <w:t xml:space="preserve">PEAS </w:t>
      </w:r>
      <w:r w:rsidR="007A768B">
        <w:rPr>
          <w:rFonts w:ascii="Arial" w:hAnsi="Arial" w:cs="Arial"/>
        </w:rPr>
        <w:t xml:space="preserve">y el </w:t>
      </w:r>
      <w:r w:rsidR="007A768B" w:rsidRPr="0076656B">
        <w:rPr>
          <w:rFonts w:ascii="Arial" w:hAnsi="Arial" w:cs="Arial"/>
        </w:rPr>
        <w:t>Estatuto de la Ciudadanía</w:t>
      </w:r>
      <w:r w:rsidR="00970D3A">
        <w:rPr>
          <w:rFonts w:ascii="Arial" w:hAnsi="Arial" w:cs="Arial"/>
        </w:rPr>
        <w:t xml:space="preserve">, </w:t>
      </w:r>
      <w:r w:rsidR="007A768B" w:rsidRPr="0076656B">
        <w:rPr>
          <w:rFonts w:ascii="Arial" w:hAnsi="Arial" w:cs="Arial"/>
        </w:rPr>
        <w:t>documentos programáticos que en la mayoría de sus</w:t>
      </w:r>
      <w:r w:rsidR="007A768B">
        <w:rPr>
          <w:rFonts w:ascii="Arial" w:hAnsi="Arial" w:cs="Arial"/>
        </w:rPr>
        <w:t xml:space="preserve"> </w:t>
      </w:r>
      <w:r w:rsidR="007A768B" w:rsidRPr="0076656B">
        <w:rPr>
          <w:rFonts w:ascii="Arial" w:hAnsi="Arial" w:cs="Arial"/>
        </w:rPr>
        <w:t>directrices coinciden plenamente con la Agenda de</w:t>
      </w:r>
      <w:r w:rsidR="007A768B">
        <w:rPr>
          <w:rFonts w:ascii="Arial" w:hAnsi="Arial" w:cs="Arial"/>
        </w:rPr>
        <w:t xml:space="preserve"> </w:t>
      </w:r>
      <w:r w:rsidR="007A768B" w:rsidRPr="0076656B">
        <w:rPr>
          <w:rFonts w:ascii="Arial" w:hAnsi="Arial" w:cs="Arial"/>
        </w:rPr>
        <w:t>los ODS</w:t>
      </w:r>
      <w:r w:rsidR="007A768B">
        <w:rPr>
          <w:rFonts w:ascii="Arial" w:hAnsi="Arial" w:cs="Arial"/>
        </w:rPr>
        <w:t xml:space="preserve"> y se convierten</w:t>
      </w:r>
      <w:r w:rsidR="007A768B" w:rsidRPr="0076656B">
        <w:rPr>
          <w:rFonts w:ascii="Arial" w:hAnsi="Arial" w:cs="Arial"/>
        </w:rPr>
        <w:t xml:space="preserve"> en un verdadera Agenda del</w:t>
      </w:r>
      <w:r w:rsidR="007A768B">
        <w:rPr>
          <w:rFonts w:ascii="Arial" w:hAnsi="Arial" w:cs="Arial"/>
        </w:rPr>
        <w:t xml:space="preserve"> </w:t>
      </w:r>
      <w:r w:rsidR="001526EB">
        <w:rPr>
          <w:rFonts w:ascii="Arial" w:hAnsi="Arial" w:cs="Arial"/>
        </w:rPr>
        <w:t>MERCOSUR</w:t>
      </w:r>
      <w:r w:rsidR="007A768B" w:rsidRPr="0076656B">
        <w:rPr>
          <w:rFonts w:ascii="Arial" w:hAnsi="Arial" w:cs="Arial"/>
        </w:rPr>
        <w:t xml:space="preserve"> para la implementación </w:t>
      </w:r>
      <w:r w:rsidR="007A768B">
        <w:rPr>
          <w:rFonts w:ascii="Arial" w:hAnsi="Arial" w:cs="Arial"/>
        </w:rPr>
        <w:t xml:space="preserve">intersectorial </w:t>
      </w:r>
      <w:r w:rsidR="007A768B" w:rsidRPr="0076656B">
        <w:rPr>
          <w:rFonts w:ascii="Arial" w:hAnsi="Arial" w:cs="Arial"/>
        </w:rPr>
        <w:t>de los ODS</w:t>
      </w:r>
      <w:r w:rsidR="007A768B">
        <w:rPr>
          <w:rFonts w:ascii="Arial" w:hAnsi="Arial" w:cs="Arial"/>
        </w:rPr>
        <w:t>. Asimismo, en un plenario conjunto</w:t>
      </w:r>
      <w:r w:rsidR="007A768B" w:rsidRPr="00F079B2">
        <w:rPr>
          <w:rFonts w:ascii="Arial" w:hAnsi="Arial" w:cs="Arial"/>
        </w:rPr>
        <w:t xml:space="preserve"> de la Comisi</w:t>
      </w:r>
      <w:r w:rsidR="007A768B">
        <w:rPr>
          <w:rFonts w:ascii="Arial" w:hAnsi="Arial" w:cs="Arial"/>
        </w:rPr>
        <w:t>ones</w:t>
      </w:r>
      <w:r w:rsidR="007A768B" w:rsidRPr="00F079B2">
        <w:rPr>
          <w:rFonts w:ascii="Arial" w:hAnsi="Arial" w:cs="Arial"/>
        </w:rPr>
        <w:t xml:space="preserve"> de Trabajo y de</w:t>
      </w:r>
      <w:r w:rsidR="007A768B">
        <w:rPr>
          <w:rFonts w:ascii="Arial" w:hAnsi="Arial" w:cs="Arial"/>
        </w:rPr>
        <w:t xml:space="preserve"> </w:t>
      </w:r>
      <w:r w:rsidR="007A768B" w:rsidRPr="00F079B2">
        <w:rPr>
          <w:rFonts w:ascii="Arial" w:hAnsi="Arial" w:cs="Arial"/>
        </w:rPr>
        <w:t xml:space="preserve">Desarrollo Sustentable </w:t>
      </w:r>
      <w:r w:rsidR="007A768B">
        <w:rPr>
          <w:rFonts w:ascii="Arial" w:hAnsi="Arial" w:cs="Arial"/>
        </w:rPr>
        <w:t>se aprobó “</w:t>
      </w:r>
      <w:r w:rsidR="007A768B" w:rsidRPr="00F079B2">
        <w:rPr>
          <w:rFonts w:ascii="Arial" w:hAnsi="Arial" w:cs="Arial"/>
        </w:rPr>
        <w:t>una Propuesta de Disposición en que</w:t>
      </w:r>
      <w:r w:rsidR="007A768B">
        <w:rPr>
          <w:rFonts w:ascii="Arial" w:hAnsi="Arial" w:cs="Arial"/>
        </w:rPr>
        <w:t xml:space="preserve"> </w:t>
      </w:r>
      <w:r w:rsidR="007A768B" w:rsidRPr="00F079B2">
        <w:rPr>
          <w:rFonts w:ascii="Arial" w:hAnsi="Arial" w:cs="Arial"/>
        </w:rPr>
        <w:t xml:space="preserve">el </w:t>
      </w:r>
      <w:r w:rsidR="00305268">
        <w:rPr>
          <w:rFonts w:ascii="Arial" w:hAnsi="Arial" w:cs="Arial"/>
        </w:rPr>
        <w:t>PARLASUR</w:t>
      </w:r>
      <w:r w:rsidR="007A768B" w:rsidRPr="00F079B2">
        <w:rPr>
          <w:rFonts w:ascii="Arial" w:hAnsi="Arial" w:cs="Arial"/>
        </w:rPr>
        <w:t xml:space="preserve"> instruye a los Órganos decisorios</w:t>
      </w:r>
      <w:r w:rsidR="007A768B">
        <w:rPr>
          <w:rFonts w:ascii="Arial" w:hAnsi="Arial" w:cs="Arial"/>
        </w:rPr>
        <w:t xml:space="preserve"> </w:t>
      </w:r>
      <w:r w:rsidR="007A768B" w:rsidRPr="00F079B2">
        <w:rPr>
          <w:rFonts w:ascii="Arial" w:hAnsi="Arial" w:cs="Arial"/>
        </w:rPr>
        <w:t xml:space="preserve">y dependientes del </w:t>
      </w:r>
      <w:r w:rsidR="001526EB">
        <w:rPr>
          <w:rFonts w:ascii="Arial" w:hAnsi="Arial" w:cs="Arial"/>
        </w:rPr>
        <w:t>MERCOSUR</w:t>
      </w:r>
      <w:r w:rsidR="007A768B" w:rsidRPr="00F079B2">
        <w:rPr>
          <w:rFonts w:ascii="Arial" w:hAnsi="Arial" w:cs="Arial"/>
        </w:rPr>
        <w:t xml:space="preserve"> a informar el</w:t>
      </w:r>
      <w:r w:rsidR="007A768B">
        <w:rPr>
          <w:rFonts w:ascii="Arial" w:hAnsi="Arial" w:cs="Arial"/>
        </w:rPr>
        <w:t xml:space="preserve"> </w:t>
      </w:r>
      <w:r w:rsidR="007A768B" w:rsidRPr="00F079B2">
        <w:rPr>
          <w:rFonts w:ascii="Arial" w:hAnsi="Arial" w:cs="Arial"/>
        </w:rPr>
        <w:t>grado de implementación de la Agenda 2030 a</w:t>
      </w:r>
      <w:r w:rsidR="007A768B">
        <w:rPr>
          <w:rFonts w:ascii="Arial" w:hAnsi="Arial" w:cs="Arial"/>
        </w:rPr>
        <w:t xml:space="preserve"> </w:t>
      </w:r>
      <w:r w:rsidR="007A768B" w:rsidRPr="00F079B2">
        <w:rPr>
          <w:rFonts w:ascii="Arial" w:hAnsi="Arial" w:cs="Arial"/>
        </w:rPr>
        <w:t>nivel regional, nacional y local, así como instar a</w:t>
      </w:r>
      <w:r w:rsidR="007A768B">
        <w:rPr>
          <w:rFonts w:ascii="Arial" w:hAnsi="Arial" w:cs="Arial"/>
        </w:rPr>
        <w:t xml:space="preserve"> </w:t>
      </w:r>
      <w:r w:rsidR="007A768B" w:rsidRPr="00F079B2">
        <w:rPr>
          <w:rFonts w:ascii="Arial" w:hAnsi="Arial" w:cs="Arial"/>
        </w:rPr>
        <w:t>los Congresos Nacionales de los Estados Parte</w:t>
      </w:r>
      <w:r w:rsidR="007A768B">
        <w:rPr>
          <w:rFonts w:ascii="Arial" w:hAnsi="Arial" w:cs="Arial"/>
        </w:rPr>
        <w:t xml:space="preserve"> </w:t>
      </w:r>
      <w:r w:rsidR="007A768B" w:rsidRPr="00F079B2">
        <w:rPr>
          <w:rFonts w:ascii="Arial" w:hAnsi="Arial" w:cs="Arial"/>
        </w:rPr>
        <w:t>que incorporen en sus actividades legislativas los</w:t>
      </w:r>
      <w:r w:rsidR="007A768B">
        <w:rPr>
          <w:rFonts w:ascii="Arial" w:hAnsi="Arial" w:cs="Arial"/>
        </w:rPr>
        <w:t xml:space="preserve"> </w:t>
      </w:r>
      <w:r w:rsidR="007A768B" w:rsidRPr="00F079B2">
        <w:rPr>
          <w:rFonts w:ascii="Arial" w:hAnsi="Arial" w:cs="Arial"/>
        </w:rPr>
        <w:t>ejes de acción de los ODS</w:t>
      </w:r>
      <w:r w:rsidR="007A768B">
        <w:rPr>
          <w:rFonts w:ascii="Arial" w:hAnsi="Arial" w:cs="Arial"/>
        </w:rPr>
        <w:t xml:space="preserve">” (Revista </w:t>
      </w:r>
      <w:r w:rsidR="00305268">
        <w:rPr>
          <w:rFonts w:ascii="Arial" w:hAnsi="Arial" w:cs="Arial"/>
        </w:rPr>
        <w:t>PARLASUR</w:t>
      </w:r>
      <w:r w:rsidR="007A768B">
        <w:rPr>
          <w:rFonts w:ascii="Arial" w:hAnsi="Arial" w:cs="Arial"/>
        </w:rPr>
        <w:t>, 2017: 9).</w:t>
      </w:r>
    </w:p>
    <w:p w14:paraId="408FE29C" w14:textId="77777777" w:rsidR="0042743A" w:rsidRPr="00AD204C" w:rsidRDefault="0042743A">
      <w:pPr>
        <w:jc w:val="both"/>
        <w:rPr>
          <w:rFonts w:ascii="Arial" w:hAnsi="Arial" w:cs="Arial"/>
          <w:lang w:val="es-MX"/>
        </w:rPr>
      </w:pPr>
    </w:p>
    <w:p w14:paraId="6AF56238" w14:textId="487778B9" w:rsidR="009C3094" w:rsidRPr="00E14527" w:rsidRDefault="00530D88" w:rsidP="00AF7DA3">
      <w:pPr>
        <w:jc w:val="both"/>
        <w:outlineLvl w:val="0"/>
        <w:rPr>
          <w:rFonts w:ascii="Arial" w:hAnsi="Arial" w:cs="Arial"/>
          <w:b/>
          <w:lang w:val="es-MX"/>
        </w:rPr>
      </w:pPr>
      <w:r w:rsidRPr="001D5698">
        <w:rPr>
          <w:rFonts w:ascii="Arial" w:hAnsi="Arial" w:cs="Arial"/>
          <w:b/>
          <w:lang w:val="es-MX"/>
        </w:rPr>
        <w:t>Conclusi</w:t>
      </w:r>
      <w:r w:rsidR="001D5698" w:rsidRPr="001526EB">
        <w:rPr>
          <w:rFonts w:ascii="Arial" w:hAnsi="Arial" w:cs="Arial"/>
          <w:b/>
          <w:lang w:val="es-MX"/>
        </w:rPr>
        <w:t>ones</w:t>
      </w:r>
      <w:r w:rsidRPr="001526EB">
        <w:rPr>
          <w:rFonts w:ascii="Arial" w:hAnsi="Arial" w:cs="Arial"/>
          <w:b/>
          <w:lang w:val="es-MX"/>
        </w:rPr>
        <w:t xml:space="preserve">: el PEAS </w:t>
      </w:r>
      <w:r w:rsidR="00C565E8" w:rsidRPr="001526EB">
        <w:rPr>
          <w:rFonts w:ascii="Arial" w:hAnsi="Arial" w:cs="Arial"/>
          <w:b/>
          <w:lang w:val="es-MX"/>
        </w:rPr>
        <w:t>como instrumento coordinador de la Dimensión Social</w:t>
      </w:r>
    </w:p>
    <w:p w14:paraId="62C5FF98" w14:textId="464BAC03" w:rsidR="00A8717E" w:rsidRPr="00E53DFE" w:rsidRDefault="001D5698" w:rsidP="00E064B5">
      <w:pPr>
        <w:jc w:val="both"/>
        <w:rPr>
          <w:rFonts w:ascii="Arial" w:hAnsi="Arial" w:cs="Arial"/>
          <w:lang w:val="es-MX"/>
        </w:rPr>
      </w:pPr>
      <w:r w:rsidRPr="00E064B5">
        <w:rPr>
          <w:rFonts w:ascii="Arial" w:hAnsi="Arial" w:cs="Arial"/>
        </w:rPr>
        <w:t>E</w:t>
      </w:r>
      <w:r w:rsidR="00A8717E" w:rsidRPr="00E064B5">
        <w:rPr>
          <w:rFonts w:ascii="Arial" w:hAnsi="Arial" w:cs="Arial"/>
        </w:rPr>
        <w:t xml:space="preserve">l PEAS en tanto instrumento de coordinación de las políticas vinculadas al desarrollo social, muestra un </w:t>
      </w:r>
      <w:r w:rsidRPr="00E064B5">
        <w:rPr>
          <w:rFonts w:ascii="Arial" w:hAnsi="Arial" w:cs="Arial"/>
        </w:rPr>
        <w:t xml:space="preserve">alto </w:t>
      </w:r>
      <w:r w:rsidR="00A8717E" w:rsidRPr="00E064B5">
        <w:rPr>
          <w:rFonts w:ascii="Arial" w:hAnsi="Arial" w:cs="Arial"/>
        </w:rPr>
        <w:t xml:space="preserve">grado de coincidencia y alineamiento con diversos </w:t>
      </w:r>
      <w:r w:rsidR="00596AC4" w:rsidRPr="001D5698">
        <w:rPr>
          <w:rFonts w:ascii="Arial" w:hAnsi="Arial" w:cs="Arial"/>
          <w:lang w:val="es-MX"/>
        </w:rPr>
        <w:t xml:space="preserve">marcos de </w:t>
      </w:r>
      <w:r w:rsidR="00A8717E" w:rsidRPr="001D5698">
        <w:rPr>
          <w:rFonts w:ascii="Arial" w:hAnsi="Arial" w:cs="Arial"/>
          <w:lang w:val="es-MX"/>
        </w:rPr>
        <w:t xml:space="preserve">promoción del </w:t>
      </w:r>
      <w:r w:rsidR="00596AC4" w:rsidRPr="001D5698">
        <w:rPr>
          <w:rFonts w:ascii="Arial" w:hAnsi="Arial" w:cs="Arial"/>
          <w:lang w:val="es-MX"/>
        </w:rPr>
        <w:t>desarrollo global</w:t>
      </w:r>
      <w:r w:rsidR="00A8717E" w:rsidRPr="001526EB">
        <w:rPr>
          <w:rFonts w:ascii="Arial" w:hAnsi="Arial" w:cs="Arial"/>
          <w:lang w:val="es-MX"/>
        </w:rPr>
        <w:t xml:space="preserve"> y regional. L</w:t>
      </w:r>
      <w:r w:rsidR="00596AC4" w:rsidRPr="001526EB">
        <w:rPr>
          <w:rFonts w:ascii="Arial" w:hAnsi="Arial" w:cs="Arial"/>
          <w:lang w:val="es-MX"/>
        </w:rPr>
        <w:t xml:space="preserve">a estructura de diez ejes </w:t>
      </w:r>
      <w:r w:rsidR="00A8717E" w:rsidRPr="00E53DFE">
        <w:rPr>
          <w:rFonts w:ascii="Arial" w:hAnsi="Arial" w:cs="Arial"/>
          <w:lang w:val="es-MX"/>
        </w:rPr>
        <w:t xml:space="preserve">y 26 directrices del PEAS permite ordenar las acciones de diversos instrumentos internacionales. Esta es una fortaleza relevante, si consideramos la estrecha vinculación del PEAS con la importante institucionalidad política y técnica que el </w:t>
      </w:r>
      <w:r w:rsidR="001526EB">
        <w:rPr>
          <w:rFonts w:ascii="Arial" w:hAnsi="Arial" w:cs="Arial"/>
          <w:lang w:val="es-MX"/>
        </w:rPr>
        <w:t>MERCOSUR</w:t>
      </w:r>
      <w:r w:rsidR="00A8717E" w:rsidRPr="001526EB">
        <w:rPr>
          <w:rFonts w:ascii="Arial" w:hAnsi="Arial" w:cs="Arial"/>
          <w:lang w:val="es-MX"/>
        </w:rPr>
        <w:t xml:space="preserve"> cuenta en el campo de su Dimensión Social</w:t>
      </w:r>
      <w:r w:rsidR="007651C3" w:rsidRPr="001526EB">
        <w:rPr>
          <w:rFonts w:ascii="Arial" w:hAnsi="Arial" w:cs="Arial"/>
          <w:lang w:val="es-MX"/>
        </w:rPr>
        <w:t xml:space="preserve"> y </w:t>
      </w:r>
      <w:r w:rsidR="0074078C">
        <w:rPr>
          <w:rFonts w:ascii="Arial" w:hAnsi="Arial" w:cs="Arial"/>
          <w:lang w:val="es-MX"/>
        </w:rPr>
        <w:t xml:space="preserve">su vinculación </w:t>
      </w:r>
      <w:r w:rsidR="007651C3" w:rsidRPr="001526EB">
        <w:rPr>
          <w:rFonts w:ascii="Arial" w:hAnsi="Arial" w:cs="Arial"/>
          <w:lang w:val="es-MX"/>
        </w:rPr>
        <w:t>con la compleja gobernanza mundi</w:t>
      </w:r>
      <w:r w:rsidR="007651C3" w:rsidRPr="00E53DFE">
        <w:rPr>
          <w:rFonts w:ascii="Arial" w:hAnsi="Arial" w:cs="Arial"/>
          <w:lang w:val="es-MX"/>
        </w:rPr>
        <w:t>al</w:t>
      </w:r>
      <w:r w:rsidR="00A8717E" w:rsidRPr="00E53DFE">
        <w:rPr>
          <w:rFonts w:ascii="Arial" w:hAnsi="Arial" w:cs="Arial"/>
          <w:lang w:val="es-MX"/>
        </w:rPr>
        <w:t>.</w:t>
      </w:r>
    </w:p>
    <w:p w14:paraId="60EB50CB" w14:textId="44D3134C" w:rsidR="00530D88" w:rsidRPr="00201D7E" w:rsidRDefault="00A8717E" w:rsidP="00E064B5">
      <w:pPr>
        <w:jc w:val="both"/>
        <w:rPr>
          <w:rFonts w:ascii="Arial" w:hAnsi="Arial" w:cs="Arial"/>
          <w:lang w:val="es-MX"/>
        </w:rPr>
      </w:pPr>
      <w:r w:rsidRPr="00E064B5">
        <w:rPr>
          <w:rFonts w:ascii="Arial" w:hAnsi="Arial" w:cs="Arial"/>
        </w:rPr>
        <w:t xml:space="preserve">La institucionalidad social del </w:t>
      </w:r>
      <w:r w:rsidR="001526EB">
        <w:rPr>
          <w:rFonts w:ascii="Arial" w:hAnsi="Arial" w:cs="Arial"/>
        </w:rPr>
        <w:t>MERCOSUR</w:t>
      </w:r>
      <w:r w:rsidRPr="00E064B5">
        <w:rPr>
          <w:rFonts w:ascii="Arial" w:hAnsi="Arial" w:cs="Arial"/>
        </w:rPr>
        <w:t xml:space="preserve"> ofrece diversas oportunidades para potenciar</w:t>
      </w:r>
      <w:r w:rsidR="001D5698">
        <w:rPr>
          <w:rFonts w:ascii="Arial" w:hAnsi="Arial" w:cs="Arial"/>
        </w:rPr>
        <w:t xml:space="preserve"> intersectorialmente</w:t>
      </w:r>
      <w:r w:rsidRPr="00E064B5">
        <w:rPr>
          <w:rFonts w:ascii="Arial" w:hAnsi="Arial" w:cs="Arial"/>
        </w:rPr>
        <w:t xml:space="preserve"> la implementación de la agenda del desarrollo. Por ejemplo, estableciendo un </w:t>
      </w:r>
      <w:r w:rsidR="00596AC4" w:rsidRPr="001D5698">
        <w:rPr>
          <w:rFonts w:ascii="Arial" w:hAnsi="Arial" w:cs="Arial"/>
          <w:lang w:val="es-MX"/>
        </w:rPr>
        <w:t xml:space="preserve">mecanismo de rendición de cuentas periódica, a través de la CCMASM, con asistencia técnica en el seguimiento desde el ISM. Los formatos OEA de reportes nacionales anuales, los del ámbito </w:t>
      </w:r>
      <w:r w:rsidRPr="001D5698">
        <w:rPr>
          <w:rFonts w:ascii="Arial" w:hAnsi="Arial" w:cs="Arial"/>
          <w:lang w:val="es-MX"/>
        </w:rPr>
        <w:t xml:space="preserve">SGT 10 de </w:t>
      </w:r>
      <w:r w:rsidR="00596AC4" w:rsidRPr="001D5698">
        <w:rPr>
          <w:rFonts w:ascii="Arial" w:hAnsi="Arial" w:cs="Arial"/>
          <w:lang w:val="es-MX"/>
        </w:rPr>
        <w:t xml:space="preserve">Trabajo de </w:t>
      </w:r>
      <w:r w:rsidR="001526EB">
        <w:rPr>
          <w:rFonts w:ascii="Arial" w:hAnsi="Arial" w:cs="Arial"/>
          <w:lang w:val="es-MX"/>
        </w:rPr>
        <w:t>MERCOSUR</w:t>
      </w:r>
      <w:r w:rsidR="00596AC4" w:rsidRPr="001D5698">
        <w:rPr>
          <w:rFonts w:ascii="Arial" w:hAnsi="Arial" w:cs="Arial"/>
          <w:lang w:val="es-MX"/>
        </w:rPr>
        <w:t xml:space="preserve"> con reportes anuales, </w:t>
      </w:r>
      <w:r w:rsidR="009A6030" w:rsidRPr="001526EB">
        <w:rPr>
          <w:rFonts w:ascii="Arial" w:hAnsi="Arial" w:cs="Arial"/>
          <w:lang w:val="es-MX"/>
        </w:rPr>
        <w:t xml:space="preserve">o </w:t>
      </w:r>
      <w:r w:rsidR="00452643" w:rsidRPr="001526EB">
        <w:rPr>
          <w:rFonts w:ascii="Arial" w:hAnsi="Arial" w:cs="Arial"/>
          <w:lang w:val="es-MX"/>
        </w:rPr>
        <w:t xml:space="preserve">los informes </w:t>
      </w:r>
      <w:r w:rsidR="009A6030" w:rsidRPr="001526EB">
        <w:rPr>
          <w:rFonts w:ascii="Arial" w:hAnsi="Arial" w:cs="Arial"/>
          <w:lang w:val="es-MX"/>
        </w:rPr>
        <w:t xml:space="preserve">nacionales </w:t>
      </w:r>
      <w:r w:rsidR="00452643" w:rsidRPr="001526EB">
        <w:rPr>
          <w:rFonts w:ascii="Arial" w:hAnsi="Arial" w:cs="Arial"/>
          <w:lang w:val="es-MX"/>
        </w:rPr>
        <w:t>voluntarios de los ODS 2030</w:t>
      </w:r>
      <w:r w:rsidR="009A6030" w:rsidRPr="00E53DFE">
        <w:rPr>
          <w:rFonts w:ascii="Arial" w:hAnsi="Arial" w:cs="Arial"/>
          <w:lang w:val="es-MX"/>
        </w:rPr>
        <w:t xml:space="preserve">, son </w:t>
      </w:r>
      <w:r w:rsidR="00F31673" w:rsidRPr="00E53DFE">
        <w:rPr>
          <w:rFonts w:ascii="Arial" w:hAnsi="Arial" w:cs="Arial"/>
          <w:lang w:val="es-MX"/>
        </w:rPr>
        <w:t>muy buenos ejemplos para considerar</w:t>
      </w:r>
      <w:r w:rsidR="00452643" w:rsidRPr="00E53DFE">
        <w:rPr>
          <w:rFonts w:ascii="Arial" w:hAnsi="Arial" w:cs="Arial"/>
          <w:lang w:val="es-MX"/>
        </w:rPr>
        <w:t xml:space="preserve">. </w:t>
      </w:r>
      <w:r w:rsidRPr="00E53DFE">
        <w:rPr>
          <w:rFonts w:ascii="Arial" w:hAnsi="Arial" w:cs="Arial"/>
          <w:lang w:val="es-MX"/>
        </w:rPr>
        <w:t>Esos informes cualitativos aportan una riqueza de información</w:t>
      </w:r>
      <w:r w:rsidR="00452643" w:rsidRPr="00E53DFE">
        <w:rPr>
          <w:rFonts w:ascii="Arial" w:hAnsi="Arial" w:cs="Arial"/>
          <w:lang w:val="es-MX"/>
        </w:rPr>
        <w:t xml:space="preserve"> muy relevante para los países atentos a la agenda del desarrollo.</w:t>
      </w:r>
      <w:r w:rsidR="00596AC4" w:rsidRPr="00201D7E">
        <w:rPr>
          <w:rFonts w:ascii="Arial" w:hAnsi="Arial" w:cs="Arial"/>
          <w:lang w:val="es-MX"/>
        </w:rPr>
        <w:t xml:space="preserve"> </w:t>
      </w:r>
    </w:p>
    <w:p w14:paraId="3E876F23" w14:textId="69A9E8F1" w:rsidR="009C3094" w:rsidRPr="00201D7E" w:rsidRDefault="009A6030" w:rsidP="00201D7E">
      <w:pPr>
        <w:jc w:val="both"/>
        <w:rPr>
          <w:rFonts w:ascii="Arial" w:hAnsi="Arial" w:cs="Arial"/>
          <w:lang w:val="es-MX"/>
        </w:rPr>
      </w:pPr>
      <w:r w:rsidRPr="00201D7E">
        <w:rPr>
          <w:rFonts w:ascii="Arial" w:hAnsi="Arial" w:cs="Arial"/>
          <w:lang w:val="es-MX"/>
        </w:rPr>
        <w:t xml:space="preserve">Es importante avanzar en la vinculación </w:t>
      </w:r>
      <w:r w:rsidR="006B4C3E" w:rsidRPr="00201D7E">
        <w:rPr>
          <w:rFonts w:ascii="Arial" w:hAnsi="Arial" w:cs="Arial"/>
          <w:lang w:val="es-MX"/>
        </w:rPr>
        <w:t>activa</w:t>
      </w:r>
      <w:r w:rsidRPr="00201D7E">
        <w:rPr>
          <w:rFonts w:ascii="Arial" w:hAnsi="Arial" w:cs="Arial"/>
          <w:lang w:val="es-MX"/>
        </w:rPr>
        <w:t xml:space="preserve"> de</w:t>
      </w:r>
      <w:r w:rsidR="006B4C3E" w:rsidRPr="00201D7E">
        <w:rPr>
          <w:rFonts w:ascii="Arial" w:hAnsi="Arial" w:cs="Arial"/>
          <w:lang w:val="es-MX"/>
        </w:rPr>
        <w:t xml:space="preserve"> </w:t>
      </w:r>
      <w:r w:rsidR="009C3094" w:rsidRPr="00201D7E">
        <w:rPr>
          <w:rFonts w:ascii="Arial" w:hAnsi="Arial" w:cs="Arial"/>
          <w:lang w:val="es-MX"/>
        </w:rPr>
        <w:t xml:space="preserve">los planes de trabajo sectoriales del ámbito </w:t>
      </w:r>
      <w:r w:rsidR="001526EB">
        <w:rPr>
          <w:rFonts w:ascii="Arial" w:hAnsi="Arial" w:cs="Arial"/>
          <w:lang w:val="es-MX"/>
        </w:rPr>
        <w:t>MERCOSUR</w:t>
      </w:r>
      <w:r w:rsidR="006B4C3E" w:rsidRPr="00201D7E">
        <w:rPr>
          <w:rFonts w:ascii="Arial" w:hAnsi="Arial" w:cs="Arial"/>
          <w:lang w:val="es-MX"/>
        </w:rPr>
        <w:t xml:space="preserve"> (</w:t>
      </w:r>
      <w:r w:rsidR="00530D88" w:rsidRPr="00201D7E">
        <w:rPr>
          <w:rFonts w:ascii="Arial" w:hAnsi="Arial" w:cs="Arial"/>
          <w:lang w:val="es-MX"/>
        </w:rPr>
        <w:t xml:space="preserve">Reuniones de </w:t>
      </w:r>
      <w:r w:rsidR="006B4C3E" w:rsidRPr="00201D7E">
        <w:rPr>
          <w:rFonts w:ascii="Arial" w:hAnsi="Arial" w:cs="Arial"/>
          <w:lang w:val="es-MX"/>
        </w:rPr>
        <w:t>Educación, Trabajo, etc.) con el PEAS</w:t>
      </w:r>
      <w:r w:rsidR="00596AC4" w:rsidRPr="00201D7E">
        <w:rPr>
          <w:rFonts w:ascii="Arial" w:hAnsi="Arial" w:cs="Arial"/>
          <w:lang w:val="es-MX"/>
        </w:rPr>
        <w:t>, articulándolos al proceso de rendición de cuentas permanente, asociados al cumplimiento de Objetivos e Indicadores PEAS actualizados</w:t>
      </w:r>
      <w:r w:rsidR="0074078C">
        <w:rPr>
          <w:rFonts w:ascii="Arial" w:hAnsi="Arial" w:cs="Arial"/>
          <w:lang w:val="es-MX"/>
        </w:rPr>
        <w:t>. Para ello, instrumentos como el Sistema de Información del PEAS (SI-PEAS), creado por el ISM, establece un mecanismo sencillo para el reporte semestral de actividades de l</w:t>
      </w:r>
      <w:r w:rsidR="002B1968">
        <w:rPr>
          <w:rFonts w:ascii="Arial" w:hAnsi="Arial" w:cs="Arial"/>
          <w:lang w:val="es-MX"/>
        </w:rPr>
        <w:t>a</w:t>
      </w:r>
      <w:r w:rsidR="0074078C">
        <w:rPr>
          <w:rFonts w:ascii="Arial" w:hAnsi="Arial" w:cs="Arial"/>
          <w:lang w:val="es-MX"/>
        </w:rPr>
        <w:t xml:space="preserve">s </w:t>
      </w:r>
      <w:r w:rsidR="002B1968">
        <w:rPr>
          <w:rFonts w:ascii="Arial" w:hAnsi="Arial" w:cs="Arial"/>
          <w:lang w:val="es-MX"/>
        </w:rPr>
        <w:t xml:space="preserve">reuniones del bloque que se </w:t>
      </w:r>
      <w:r w:rsidR="0074078C">
        <w:rPr>
          <w:rFonts w:ascii="Arial" w:hAnsi="Arial" w:cs="Arial"/>
          <w:lang w:val="es-MX"/>
        </w:rPr>
        <w:t>vincula</w:t>
      </w:r>
      <w:r w:rsidR="002B1968">
        <w:rPr>
          <w:rFonts w:ascii="Arial" w:hAnsi="Arial" w:cs="Arial"/>
          <w:lang w:val="es-MX"/>
        </w:rPr>
        <w:t>n</w:t>
      </w:r>
      <w:r w:rsidR="0074078C">
        <w:rPr>
          <w:rFonts w:ascii="Arial" w:hAnsi="Arial" w:cs="Arial"/>
          <w:lang w:val="es-MX"/>
        </w:rPr>
        <w:t xml:space="preserve"> al </w:t>
      </w:r>
      <w:r w:rsidR="003E1F1E">
        <w:rPr>
          <w:rFonts w:ascii="Arial" w:hAnsi="Arial" w:cs="Arial"/>
          <w:lang w:val="es-MX"/>
        </w:rPr>
        <w:t>P</w:t>
      </w:r>
      <w:r w:rsidR="0074078C">
        <w:rPr>
          <w:rFonts w:ascii="Arial" w:hAnsi="Arial" w:cs="Arial"/>
          <w:lang w:val="es-MX"/>
        </w:rPr>
        <w:t>lan</w:t>
      </w:r>
      <w:r w:rsidR="0074078C">
        <w:rPr>
          <w:rStyle w:val="Refdenotaalpie"/>
          <w:rFonts w:ascii="Arial" w:hAnsi="Arial" w:cs="Arial"/>
          <w:lang w:val="es-MX"/>
        </w:rPr>
        <w:footnoteReference w:id="13"/>
      </w:r>
      <w:r w:rsidR="003E1F1E">
        <w:rPr>
          <w:rFonts w:ascii="Arial" w:hAnsi="Arial" w:cs="Arial"/>
          <w:lang w:val="es-MX"/>
        </w:rPr>
        <w:t>.</w:t>
      </w:r>
    </w:p>
    <w:p w14:paraId="6CBF6110" w14:textId="1C749C9E" w:rsidR="009C3094" w:rsidRPr="00201D7E" w:rsidRDefault="002B1968" w:rsidP="00AD204C">
      <w:pPr>
        <w:jc w:val="both"/>
        <w:rPr>
          <w:rFonts w:ascii="Arial" w:hAnsi="Arial" w:cs="Arial"/>
          <w:lang w:val="es-MX"/>
        </w:rPr>
      </w:pPr>
      <w:r>
        <w:rPr>
          <w:rFonts w:ascii="Arial" w:hAnsi="Arial" w:cs="Arial"/>
          <w:lang w:val="es-MX"/>
        </w:rPr>
        <w:t>En la misma dirección</w:t>
      </w:r>
      <w:r w:rsidR="00452643" w:rsidRPr="00201D7E">
        <w:rPr>
          <w:rFonts w:ascii="Arial" w:hAnsi="Arial" w:cs="Arial"/>
          <w:lang w:val="es-MX"/>
        </w:rPr>
        <w:t>,</w:t>
      </w:r>
      <w:r w:rsidR="0074078C">
        <w:rPr>
          <w:rFonts w:ascii="Arial" w:hAnsi="Arial" w:cs="Arial"/>
          <w:lang w:val="es-MX"/>
        </w:rPr>
        <w:t xml:space="preserve"> otro elemento facilitador en el seguimiento del PEAS y los ODS consiste en</w:t>
      </w:r>
      <w:r w:rsidR="00452643" w:rsidRPr="00201D7E">
        <w:rPr>
          <w:rFonts w:ascii="Arial" w:hAnsi="Arial" w:cs="Arial"/>
          <w:lang w:val="es-MX"/>
        </w:rPr>
        <w:t xml:space="preserve"> e</w:t>
      </w:r>
      <w:r w:rsidR="009C3094" w:rsidRPr="00201D7E">
        <w:rPr>
          <w:rFonts w:ascii="Arial" w:hAnsi="Arial" w:cs="Arial"/>
          <w:lang w:val="es-MX"/>
        </w:rPr>
        <w:t xml:space="preserve">stablecer una matriz de indicadores </w:t>
      </w:r>
      <w:r w:rsidR="00452643" w:rsidRPr="00201D7E">
        <w:rPr>
          <w:rFonts w:ascii="Arial" w:hAnsi="Arial" w:cs="Arial"/>
          <w:lang w:val="es-MX"/>
        </w:rPr>
        <w:t xml:space="preserve">que permita realizar la evaluación y monitoreo </w:t>
      </w:r>
      <w:r w:rsidR="0074078C">
        <w:rPr>
          <w:rFonts w:ascii="Arial" w:hAnsi="Arial" w:cs="Arial"/>
          <w:lang w:val="es-MX"/>
        </w:rPr>
        <w:t xml:space="preserve">de la ejecución estas agendas. En tal dirección, el ISM </w:t>
      </w:r>
      <w:r>
        <w:rPr>
          <w:rFonts w:ascii="Arial" w:hAnsi="Arial" w:cs="Arial"/>
          <w:lang w:val="es-MX"/>
        </w:rPr>
        <w:t>se encuentra implementando</w:t>
      </w:r>
      <w:r w:rsidR="0074078C">
        <w:rPr>
          <w:rFonts w:ascii="Arial" w:hAnsi="Arial" w:cs="Arial"/>
          <w:lang w:val="es-MX"/>
        </w:rPr>
        <w:t xml:space="preserve"> un Observatorio MERCOSUR de las Políticas Sociales (OMPS)</w:t>
      </w:r>
      <w:r>
        <w:rPr>
          <w:rFonts w:ascii="Arial" w:hAnsi="Arial" w:cs="Arial"/>
          <w:lang w:val="es-MX"/>
        </w:rPr>
        <w:t xml:space="preserve">, que toma </w:t>
      </w:r>
      <w:r w:rsidR="00452643" w:rsidRPr="00201D7E">
        <w:rPr>
          <w:rFonts w:ascii="Arial" w:hAnsi="Arial" w:cs="Arial"/>
          <w:lang w:val="es-MX"/>
        </w:rPr>
        <w:t>como base</w:t>
      </w:r>
      <w:r w:rsidR="009C3094" w:rsidRPr="00201D7E">
        <w:rPr>
          <w:rFonts w:ascii="Arial" w:hAnsi="Arial" w:cs="Arial"/>
          <w:lang w:val="es-MX"/>
        </w:rPr>
        <w:t xml:space="preserve"> indicadores seleccionados </w:t>
      </w:r>
      <w:r>
        <w:rPr>
          <w:rFonts w:ascii="Arial" w:hAnsi="Arial" w:cs="Arial"/>
          <w:lang w:val="es-MX"/>
        </w:rPr>
        <w:t>de</w:t>
      </w:r>
      <w:r w:rsidRPr="00201D7E">
        <w:rPr>
          <w:rFonts w:ascii="Arial" w:hAnsi="Arial" w:cs="Arial"/>
          <w:lang w:val="es-MX"/>
        </w:rPr>
        <w:t xml:space="preserve"> </w:t>
      </w:r>
      <w:r w:rsidR="00452643" w:rsidRPr="00201D7E">
        <w:rPr>
          <w:rFonts w:ascii="Arial" w:hAnsi="Arial" w:cs="Arial"/>
          <w:lang w:val="es-MX"/>
        </w:rPr>
        <w:t>los</w:t>
      </w:r>
      <w:r w:rsidR="009C3094" w:rsidRPr="00201D7E">
        <w:rPr>
          <w:rFonts w:ascii="Arial" w:hAnsi="Arial" w:cs="Arial"/>
          <w:lang w:val="es-MX"/>
        </w:rPr>
        <w:t xml:space="preserve"> ODS</w:t>
      </w:r>
      <w:r w:rsidR="00452643" w:rsidRPr="00201D7E">
        <w:rPr>
          <w:rFonts w:ascii="Arial" w:hAnsi="Arial" w:cs="Arial"/>
          <w:lang w:val="es-MX"/>
        </w:rPr>
        <w:t xml:space="preserve"> 2030</w:t>
      </w:r>
      <w:r>
        <w:rPr>
          <w:rFonts w:ascii="Arial" w:hAnsi="Arial" w:cs="Arial"/>
          <w:lang w:val="es-MX"/>
        </w:rPr>
        <w:t xml:space="preserve"> </w:t>
      </w:r>
      <w:r w:rsidR="00B25450">
        <w:rPr>
          <w:rFonts w:ascii="Arial" w:hAnsi="Arial" w:cs="Arial"/>
          <w:lang w:val="es-MX"/>
        </w:rPr>
        <w:t>relacionados</w:t>
      </w:r>
      <w:r>
        <w:rPr>
          <w:rFonts w:ascii="Arial" w:hAnsi="Arial" w:cs="Arial"/>
          <w:lang w:val="es-MX"/>
        </w:rPr>
        <w:t xml:space="preserve"> directamente al PEAS</w:t>
      </w:r>
      <w:r w:rsidR="00530D88" w:rsidRPr="00201D7E">
        <w:rPr>
          <w:rFonts w:ascii="Arial" w:hAnsi="Arial" w:cs="Arial"/>
          <w:lang w:val="es-MX"/>
        </w:rPr>
        <w:t>.</w:t>
      </w:r>
      <w:r>
        <w:rPr>
          <w:rFonts w:ascii="Arial" w:hAnsi="Arial" w:cs="Arial"/>
          <w:lang w:val="es-MX"/>
        </w:rPr>
        <w:t xml:space="preserve"> </w:t>
      </w:r>
      <w:r w:rsidR="00530D88" w:rsidRPr="00201D7E">
        <w:rPr>
          <w:rFonts w:ascii="Arial" w:hAnsi="Arial" w:cs="Arial"/>
          <w:lang w:val="es-MX"/>
        </w:rPr>
        <w:t xml:space="preserve"> </w:t>
      </w:r>
      <w:r w:rsidR="009A6030" w:rsidRPr="00201D7E">
        <w:rPr>
          <w:rFonts w:ascii="Arial" w:hAnsi="Arial" w:cs="Arial"/>
          <w:lang w:val="es-MX"/>
        </w:rPr>
        <w:t xml:space="preserve"> </w:t>
      </w:r>
    </w:p>
    <w:p w14:paraId="04FB8A5E" w14:textId="5B016A40" w:rsidR="009A6030" w:rsidRPr="00201D7E" w:rsidRDefault="009A6030" w:rsidP="00AD204C">
      <w:pPr>
        <w:jc w:val="both"/>
        <w:rPr>
          <w:rFonts w:ascii="Arial" w:hAnsi="Arial" w:cs="Arial"/>
          <w:lang w:val="es-MX"/>
        </w:rPr>
      </w:pPr>
      <w:r w:rsidRPr="00201D7E">
        <w:rPr>
          <w:rFonts w:ascii="Arial" w:hAnsi="Arial" w:cs="Arial"/>
          <w:lang w:val="es-MX"/>
        </w:rPr>
        <w:lastRenderedPageBreak/>
        <w:t xml:space="preserve">El uso del PEAS facilitaría el establecimiento de </w:t>
      </w:r>
      <w:r w:rsidR="009C3094" w:rsidRPr="00201D7E">
        <w:rPr>
          <w:rFonts w:ascii="Arial" w:hAnsi="Arial" w:cs="Arial"/>
          <w:lang w:val="es-MX"/>
        </w:rPr>
        <w:t xml:space="preserve">un marco </w:t>
      </w:r>
      <w:r w:rsidRPr="00201D7E">
        <w:rPr>
          <w:rFonts w:ascii="Arial" w:hAnsi="Arial" w:cs="Arial"/>
          <w:lang w:val="es-MX"/>
        </w:rPr>
        <w:t xml:space="preserve">homogéneo </w:t>
      </w:r>
      <w:r w:rsidR="009C3094" w:rsidRPr="00201D7E">
        <w:rPr>
          <w:rFonts w:ascii="Arial" w:hAnsi="Arial" w:cs="Arial"/>
          <w:lang w:val="es-MX"/>
        </w:rPr>
        <w:t xml:space="preserve">para la cooperación técnica dentro del bloque, a fin de establecer estrategias para el fortalecimiento mutuo de los países del </w:t>
      </w:r>
      <w:r w:rsidR="001526EB">
        <w:rPr>
          <w:rFonts w:ascii="Arial" w:hAnsi="Arial" w:cs="Arial"/>
          <w:lang w:val="es-MX"/>
        </w:rPr>
        <w:t>MERCOSUR</w:t>
      </w:r>
      <w:r w:rsidR="00530D88" w:rsidRPr="00201D7E">
        <w:rPr>
          <w:rFonts w:ascii="Arial" w:hAnsi="Arial" w:cs="Arial"/>
          <w:lang w:val="es-MX"/>
        </w:rPr>
        <w:t xml:space="preserve"> en las áreas de desarrollo social priorizadas por </w:t>
      </w:r>
      <w:r w:rsidRPr="00201D7E">
        <w:rPr>
          <w:rFonts w:ascii="Arial" w:hAnsi="Arial" w:cs="Arial"/>
          <w:lang w:val="es-MX"/>
        </w:rPr>
        <w:t xml:space="preserve">la </w:t>
      </w:r>
      <w:r w:rsidR="00596AC4" w:rsidRPr="00201D7E">
        <w:rPr>
          <w:rFonts w:ascii="Arial" w:hAnsi="Arial" w:cs="Arial"/>
          <w:lang w:val="es-MX"/>
        </w:rPr>
        <w:t>CCMASM</w:t>
      </w:r>
      <w:r w:rsidR="00530D88" w:rsidRPr="00201D7E">
        <w:rPr>
          <w:rFonts w:ascii="Arial" w:hAnsi="Arial" w:cs="Arial"/>
          <w:lang w:val="es-MX"/>
        </w:rPr>
        <w:t xml:space="preserve">. Esto permitiría mejorar las sinergias con </w:t>
      </w:r>
      <w:r w:rsidRPr="00201D7E">
        <w:rPr>
          <w:rFonts w:ascii="Arial" w:hAnsi="Arial" w:cs="Arial"/>
          <w:lang w:val="es-MX"/>
        </w:rPr>
        <w:t xml:space="preserve">agencias del Sistema Naciones Unidas, entre otras </w:t>
      </w:r>
      <w:r w:rsidR="00530D88" w:rsidRPr="00201D7E">
        <w:rPr>
          <w:rFonts w:ascii="Arial" w:hAnsi="Arial" w:cs="Arial"/>
          <w:lang w:val="es-MX"/>
        </w:rPr>
        <w:t xml:space="preserve">agencias de promoción </w:t>
      </w:r>
      <w:r w:rsidR="00596AC4" w:rsidRPr="00201D7E">
        <w:rPr>
          <w:rFonts w:ascii="Arial" w:hAnsi="Arial" w:cs="Arial"/>
          <w:lang w:val="es-MX"/>
        </w:rPr>
        <w:t xml:space="preserve">y financiamiento </w:t>
      </w:r>
      <w:r w:rsidR="00530D88" w:rsidRPr="00201D7E">
        <w:rPr>
          <w:rFonts w:ascii="Arial" w:hAnsi="Arial" w:cs="Arial"/>
          <w:lang w:val="es-MX"/>
        </w:rPr>
        <w:t xml:space="preserve">del desarrollo. </w:t>
      </w:r>
    </w:p>
    <w:p w14:paraId="29CC946A" w14:textId="77777777" w:rsidR="002B1968" w:rsidRDefault="009A6030" w:rsidP="00380CC8">
      <w:pPr>
        <w:jc w:val="both"/>
        <w:rPr>
          <w:rFonts w:ascii="Arial" w:hAnsi="Arial" w:cs="Arial"/>
          <w:lang w:val="es-ES"/>
        </w:rPr>
      </w:pPr>
      <w:r w:rsidRPr="00201D7E">
        <w:rPr>
          <w:rFonts w:ascii="Arial" w:hAnsi="Arial" w:cs="Arial"/>
          <w:lang w:val="es-MX"/>
        </w:rPr>
        <w:t>Es importante recordar que c</w:t>
      </w:r>
      <w:r w:rsidR="00596AC4" w:rsidRPr="00201D7E">
        <w:rPr>
          <w:rFonts w:ascii="Arial" w:hAnsi="Arial" w:cs="Arial"/>
          <w:lang w:val="es-MX"/>
        </w:rPr>
        <w:t xml:space="preserve">ada uno de los países del </w:t>
      </w:r>
      <w:r w:rsidR="001526EB">
        <w:rPr>
          <w:rFonts w:ascii="Arial" w:hAnsi="Arial" w:cs="Arial"/>
          <w:lang w:val="es-MX"/>
        </w:rPr>
        <w:t>MERCOSUR</w:t>
      </w:r>
      <w:r w:rsidR="00596AC4" w:rsidRPr="00201D7E">
        <w:rPr>
          <w:rFonts w:ascii="Arial" w:hAnsi="Arial" w:cs="Arial"/>
          <w:lang w:val="es-MX"/>
        </w:rPr>
        <w:t xml:space="preserve"> tiene fortalezas diferenciadas en algún área del desarrollo social, la</w:t>
      </w:r>
      <w:r w:rsidR="004231D5">
        <w:rPr>
          <w:rFonts w:ascii="Arial" w:hAnsi="Arial" w:cs="Arial"/>
          <w:lang w:val="es-MX"/>
        </w:rPr>
        <w:t>s</w:t>
      </w:r>
      <w:r w:rsidR="00596AC4" w:rsidRPr="00201D7E">
        <w:rPr>
          <w:rFonts w:ascii="Arial" w:hAnsi="Arial" w:cs="Arial"/>
          <w:lang w:val="es-MX"/>
        </w:rPr>
        <w:t xml:space="preserve"> cual</w:t>
      </w:r>
      <w:r w:rsidR="004231D5">
        <w:rPr>
          <w:rFonts w:ascii="Arial" w:hAnsi="Arial" w:cs="Arial"/>
          <w:lang w:val="es-MX"/>
        </w:rPr>
        <w:t>es</w:t>
      </w:r>
      <w:r w:rsidR="00596AC4" w:rsidRPr="00201D7E">
        <w:rPr>
          <w:rFonts w:ascii="Arial" w:hAnsi="Arial" w:cs="Arial"/>
          <w:lang w:val="es-MX"/>
        </w:rPr>
        <w:t xml:space="preserve"> puede</w:t>
      </w:r>
      <w:r w:rsidR="004231D5">
        <w:rPr>
          <w:rFonts w:ascii="Arial" w:hAnsi="Arial" w:cs="Arial"/>
          <w:lang w:val="es-MX"/>
        </w:rPr>
        <w:t>n</w:t>
      </w:r>
      <w:r w:rsidR="00596AC4" w:rsidRPr="00201D7E">
        <w:rPr>
          <w:rFonts w:ascii="Arial" w:hAnsi="Arial" w:cs="Arial"/>
          <w:lang w:val="es-MX"/>
        </w:rPr>
        <w:t xml:space="preserve"> ser potenciada</w:t>
      </w:r>
      <w:r w:rsidR="004231D5">
        <w:rPr>
          <w:rFonts w:ascii="Arial" w:hAnsi="Arial" w:cs="Arial"/>
          <w:lang w:val="es-MX"/>
        </w:rPr>
        <w:t>s</w:t>
      </w:r>
      <w:r w:rsidR="00596AC4" w:rsidRPr="00201D7E">
        <w:rPr>
          <w:rFonts w:ascii="Arial" w:hAnsi="Arial" w:cs="Arial"/>
          <w:lang w:val="es-MX"/>
        </w:rPr>
        <w:t xml:space="preserve"> y compartida</w:t>
      </w:r>
      <w:r w:rsidR="004231D5">
        <w:rPr>
          <w:rFonts w:ascii="Arial" w:hAnsi="Arial" w:cs="Arial"/>
          <w:lang w:val="es-MX"/>
        </w:rPr>
        <w:t>s</w:t>
      </w:r>
      <w:r w:rsidR="00596AC4" w:rsidRPr="00201D7E">
        <w:rPr>
          <w:rFonts w:ascii="Arial" w:hAnsi="Arial" w:cs="Arial"/>
          <w:lang w:val="es-MX"/>
        </w:rPr>
        <w:t xml:space="preserve"> con el resto de </w:t>
      </w:r>
      <w:r w:rsidR="00596AC4" w:rsidRPr="00E53DFE">
        <w:rPr>
          <w:rFonts w:ascii="Arial" w:hAnsi="Arial" w:cs="Arial"/>
          <w:lang w:val="es-MX"/>
        </w:rPr>
        <w:t xml:space="preserve">los países socios. </w:t>
      </w:r>
      <w:r w:rsidRPr="00E064B5">
        <w:rPr>
          <w:rFonts w:ascii="Arial" w:hAnsi="Arial" w:cs="Arial"/>
          <w:lang w:val="es-MX"/>
        </w:rPr>
        <w:t>Esta es una forma adecuada para enfrentar el problema del “desarrollo en transición”</w:t>
      </w:r>
      <w:r w:rsidR="001526EB" w:rsidRPr="00E064B5">
        <w:rPr>
          <w:rFonts w:ascii="Arial" w:hAnsi="Arial" w:cs="Arial"/>
          <w:lang w:val="es-MX"/>
        </w:rPr>
        <w:t xml:space="preserve"> a partir de la promoción e intercambio </w:t>
      </w:r>
      <w:r w:rsidR="00E53DFE" w:rsidRPr="00E064B5">
        <w:rPr>
          <w:rFonts w:ascii="Arial" w:hAnsi="Arial" w:cs="Arial"/>
          <w:lang w:val="es-MX"/>
        </w:rPr>
        <w:t xml:space="preserve">que ofrece el espacio regional para la cooperación </w:t>
      </w:r>
      <w:r w:rsidR="005B2BF2">
        <w:rPr>
          <w:rFonts w:ascii="Arial" w:hAnsi="Arial" w:cs="Arial"/>
          <w:lang w:val="es-MX"/>
        </w:rPr>
        <w:t>S</w:t>
      </w:r>
      <w:r w:rsidR="00E53DFE" w:rsidRPr="00E064B5">
        <w:rPr>
          <w:rFonts w:ascii="Arial" w:hAnsi="Arial" w:cs="Arial"/>
          <w:lang w:val="es-MX"/>
        </w:rPr>
        <w:t>ur-</w:t>
      </w:r>
      <w:r w:rsidR="005B2BF2">
        <w:rPr>
          <w:rFonts w:ascii="Arial" w:hAnsi="Arial" w:cs="Arial"/>
          <w:lang w:val="es-MX"/>
        </w:rPr>
        <w:t>S</w:t>
      </w:r>
      <w:r w:rsidR="00E53DFE" w:rsidRPr="00E064B5">
        <w:rPr>
          <w:rFonts w:ascii="Arial" w:hAnsi="Arial" w:cs="Arial"/>
          <w:lang w:val="es-MX"/>
        </w:rPr>
        <w:t>ur</w:t>
      </w:r>
      <w:r w:rsidR="00E53DFE">
        <w:rPr>
          <w:rFonts w:ascii="Arial" w:hAnsi="Arial" w:cs="Arial"/>
          <w:lang w:val="es-MX"/>
        </w:rPr>
        <w:t>;</w:t>
      </w:r>
      <w:r w:rsidR="00E53DFE" w:rsidRPr="00E064B5">
        <w:rPr>
          <w:rFonts w:ascii="Arial" w:hAnsi="Arial" w:cs="Arial"/>
          <w:lang w:val="es-MX"/>
        </w:rPr>
        <w:t xml:space="preserve"> </w:t>
      </w:r>
      <w:r w:rsidR="00E53DFE">
        <w:rPr>
          <w:rFonts w:ascii="Arial" w:hAnsi="Arial" w:cs="Arial"/>
          <w:lang w:val="es-MX"/>
        </w:rPr>
        <w:t>y</w:t>
      </w:r>
      <w:r w:rsidR="00E53DFE" w:rsidRPr="00E064B5">
        <w:rPr>
          <w:rFonts w:ascii="Arial" w:hAnsi="Arial" w:cs="Arial"/>
          <w:lang w:val="es-MX"/>
        </w:rPr>
        <w:t xml:space="preserve">a que como se menciona en la </w:t>
      </w:r>
      <w:r w:rsidR="00E53DFE" w:rsidRPr="00E53DFE">
        <w:rPr>
          <w:rFonts w:ascii="Arial" w:hAnsi="Arial" w:cs="Arial"/>
          <w:lang w:val="es-ES"/>
        </w:rPr>
        <w:t xml:space="preserve"> Declaración Final de la XXI Cumbre Iberoamericana de Jefes de Estado y de Gobierno (2011): “Esta modalidad de cooperar consolida las relaciones entre países de una misma región, promoviendo el desarrollo regional y la integración, así como la relación con otras regiones y la preservación de bienes públicos regionales y globales”. </w:t>
      </w:r>
    </w:p>
    <w:p w14:paraId="6069405C" w14:textId="7D3C8E67" w:rsidR="00FE3290" w:rsidRDefault="009A6030" w:rsidP="00380CC8">
      <w:pPr>
        <w:jc w:val="both"/>
        <w:rPr>
          <w:rFonts w:ascii="Arial" w:hAnsi="Arial" w:cs="Arial"/>
        </w:rPr>
      </w:pPr>
      <w:r w:rsidRPr="00E064B5">
        <w:rPr>
          <w:rFonts w:ascii="Arial" w:hAnsi="Arial" w:cs="Arial"/>
        </w:rPr>
        <w:t>Es necesario a</w:t>
      </w:r>
      <w:r w:rsidR="00452643" w:rsidRPr="00E064B5">
        <w:rPr>
          <w:rFonts w:ascii="Arial" w:hAnsi="Arial" w:cs="Arial"/>
        </w:rPr>
        <w:t>firmar</w:t>
      </w:r>
      <w:r w:rsidR="00117645" w:rsidRPr="00E064B5">
        <w:rPr>
          <w:rFonts w:ascii="Arial" w:hAnsi="Arial" w:cs="Arial"/>
        </w:rPr>
        <w:t xml:space="preserve"> la conexión</w:t>
      </w:r>
      <w:r w:rsidR="00117645" w:rsidRPr="001D5698">
        <w:rPr>
          <w:rFonts w:ascii="Arial" w:hAnsi="Arial" w:cs="Arial"/>
        </w:rPr>
        <w:t xml:space="preserve"> del Plan respecto a los órganos centrales de </w:t>
      </w:r>
      <w:r w:rsidR="00452643" w:rsidRPr="001D5698">
        <w:rPr>
          <w:rFonts w:ascii="Arial" w:hAnsi="Arial" w:cs="Arial"/>
        </w:rPr>
        <w:t xml:space="preserve">la </w:t>
      </w:r>
      <w:r w:rsidR="00117645" w:rsidRPr="001D5698">
        <w:rPr>
          <w:rFonts w:ascii="Arial" w:hAnsi="Arial" w:cs="Arial"/>
        </w:rPr>
        <w:t>política</w:t>
      </w:r>
      <w:r w:rsidR="00452643" w:rsidRPr="00201D7E">
        <w:rPr>
          <w:rFonts w:ascii="Arial" w:hAnsi="Arial" w:cs="Arial"/>
        </w:rPr>
        <w:t xml:space="preserve"> </w:t>
      </w:r>
      <w:r w:rsidR="00E14527">
        <w:rPr>
          <w:rFonts w:ascii="Arial" w:hAnsi="Arial" w:cs="Arial"/>
        </w:rPr>
        <w:t>mercosuriana</w:t>
      </w:r>
      <w:r w:rsidR="00117645" w:rsidRPr="00201D7E">
        <w:rPr>
          <w:rFonts w:ascii="Arial" w:hAnsi="Arial" w:cs="Arial"/>
        </w:rPr>
        <w:t>,</w:t>
      </w:r>
      <w:r w:rsidR="00452643" w:rsidRPr="00201D7E">
        <w:rPr>
          <w:rFonts w:ascii="Arial" w:hAnsi="Arial" w:cs="Arial"/>
        </w:rPr>
        <w:t xml:space="preserve"> como son el CMC y el GMC, pero también el </w:t>
      </w:r>
      <w:r w:rsidR="00305268">
        <w:rPr>
          <w:rFonts w:ascii="Arial" w:hAnsi="Arial" w:cs="Arial"/>
        </w:rPr>
        <w:t>PARLASUR</w:t>
      </w:r>
      <w:r w:rsidR="00452643" w:rsidRPr="00201D7E">
        <w:rPr>
          <w:rFonts w:ascii="Arial" w:hAnsi="Arial" w:cs="Arial"/>
        </w:rPr>
        <w:t xml:space="preserve"> en su rol de foro político del bloque</w:t>
      </w:r>
      <w:r w:rsidR="00C44D5F">
        <w:rPr>
          <w:rFonts w:ascii="Arial" w:hAnsi="Arial" w:cs="Arial"/>
        </w:rPr>
        <w:t xml:space="preserve">. </w:t>
      </w:r>
      <w:r w:rsidR="007A768B">
        <w:rPr>
          <w:rFonts w:ascii="Arial" w:hAnsi="Arial" w:cs="Arial"/>
        </w:rPr>
        <w:t xml:space="preserve">El </w:t>
      </w:r>
      <w:r w:rsidR="00305268">
        <w:rPr>
          <w:rFonts w:ascii="Arial" w:hAnsi="Arial" w:cs="Arial"/>
        </w:rPr>
        <w:t>PARLASUR</w:t>
      </w:r>
      <w:r w:rsidR="007A768B">
        <w:rPr>
          <w:rFonts w:ascii="Arial" w:hAnsi="Arial" w:cs="Arial"/>
        </w:rPr>
        <w:t xml:space="preserve"> </w:t>
      </w:r>
      <w:r w:rsidR="002B1968">
        <w:rPr>
          <w:rFonts w:ascii="Arial" w:hAnsi="Arial" w:cs="Arial"/>
        </w:rPr>
        <w:t xml:space="preserve">ha tenido un </w:t>
      </w:r>
      <w:r w:rsidR="009A777E">
        <w:rPr>
          <w:rFonts w:ascii="Arial" w:hAnsi="Arial" w:cs="Arial"/>
        </w:rPr>
        <w:t>papel</w:t>
      </w:r>
      <w:r w:rsidR="002B1968">
        <w:rPr>
          <w:rFonts w:ascii="Arial" w:hAnsi="Arial" w:cs="Arial"/>
        </w:rPr>
        <w:t xml:space="preserve"> importante en la difusión de</w:t>
      </w:r>
      <w:r w:rsidR="007A768B">
        <w:rPr>
          <w:rFonts w:ascii="Arial" w:hAnsi="Arial" w:cs="Arial"/>
        </w:rPr>
        <w:t xml:space="preserve"> los ODS</w:t>
      </w:r>
      <w:r w:rsidR="002B1968">
        <w:rPr>
          <w:rFonts w:ascii="Arial" w:hAnsi="Arial" w:cs="Arial"/>
        </w:rPr>
        <w:t xml:space="preserve">, </w:t>
      </w:r>
      <w:r w:rsidR="009A777E">
        <w:rPr>
          <w:rFonts w:ascii="Arial" w:hAnsi="Arial" w:cs="Arial"/>
        </w:rPr>
        <w:t>indicando</w:t>
      </w:r>
      <w:r w:rsidR="002B1968">
        <w:rPr>
          <w:rFonts w:ascii="Arial" w:hAnsi="Arial" w:cs="Arial"/>
        </w:rPr>
        <w:t xml:space="preserve"> </w:t>
      </w:r>
      <w:r w:rsidR="007A768B">
        <w:rPr>
          <w:rFonts w:ascii="Arial" w:hAnsi="Arial" w:cs="Arial"/>
        </w:rPr>
        <w:t xml:space="preserve">los instrumentos regionales disponibles para su logro. </w:t>
      </w:r>
      <w:r w:rsidR="002B1968">
        <w:rPr>
          <w:rFonts w:ascii="Arial" w:hAnsi="Arial" w:cs="Arial"/>
        </w:rPr>
        <w:t xml:space="preserve">Sobre este punto, el PARLASUR </w:t>
      </w:r>
      <w:r w:rsidR="00FE3290">
        <w:rPr>
          <w:rFonts w:ascii="Arial" w:hAnsi="Arial" w:cs="Arial"/>
        </w:rPr>
        <w:t xml:space="preserve">ha señalado que </w:t>
      </w:r>
      <w:r w:rsidR="007A768B">
        <w:rPr>
          <w:rFonts w:ascii="Arial" w:hAnsi="Arial" w:cs="Arial"/>
        </w:rPr>
        <w:t>“</w:t>
      </w:r>
      <w:r w:rsidR="007A768B" w:rsidRPr="009A777E">
        <w:rPr>
          <w:rFonts w:ascii="Arial" w:hAnsi="Arial" w:cs="Arial"/>
          <w:i/>
        </w:rPr>
        <w:t xml:space="preserve">a pesar de los efectos de la crisis económica internacional y la disminución del comercio intrarregional, el </w:t>
      </w:r>
      <w:r w:rsidR="001526EB" w:rsidRPr="009A777E">
        <w:rPr>
          <w:rFonts w:ascii="Arial" w:hAnsi="Arial" w:cs="Arial"/>
          <w:i/>
        </w:rPr>
        <w:t>MERCOSUR</w:t>
      </w:r>
      <w:r w:rsidR="007A768B" w:rsidRPr="009A777E">
        <w:rPr>
          <w:rFonts w:ascii="Arial" w:hAnsi="Arial" w:cs="Arial"/>
          <w:i/>
        </w:rPr>
        <w:t xml:space="preserve"> construyó en la última década una institucionalidad regional que debe ser considerada al momento de promover una alianza pública regional que permita colaborar en la agenda de los ODS. A modo de ejemplo, podemos citar el Instituto de Políticas Públicas en Derechos Humanos (IPPDH)</w:t>
      </w:r>
      <w:r w:rsidR="00FE3290" w:rsidRPr="009A777E">
        <w:rPr>
          <w:rFonts w:ascii="Arial" w:hAnsi="Arial" w:cs="Arial"/>
          <w:i/>
        </w:rPr>
        <w:t xml:space="preserve"> (…</w:t>
      </w:r>
      <w:r w:rsidR="007A768B" w:rsidRPr="009A777E">
        <w:rPr>
          <w:rFonts w:ascii="Arial" w:hAnsi="Arial" w:cs="Arial"/>
          <w:i/>
        </w:rPr>
        <w:t xml:space="preserve">), la Unidad de Apoyo a la Participación Social (UPS) y el Instituto Social del </w:t>
      </w:r>
      <w:r w:rsidR="001526EB" w:rsidRPr="009A777E">
        <w:rPr>
          <w:rFonts w:ascii="Arial" w:hAnsi="Arial" w:cs="Arial"/>
          <w:i/>
        </w:rPr>
        <w:t>MERCOSUR</w:t>
      </w:r>
      <w:r w:rsidR="007A768B" w:rsidRPr="009A777E">
        <w:rPr>
          <w:rFonts w:ascii="Arial" w:hAnsi="Arial" w:cs="Arial"/>
          <w:i/>
        </w:rPr>
        <w:t xml:space="preserve"> (ISM), además del propio Parlamento del </w:t>
      </w:r>
      <w:r w:rsidR="001526EB" w:rsidRPr="009A777E">
        <w:rPr>
          <w:rFonts w:ascii="Arial" w:hAnsi="Arial" w:cs="Arial"/>
          <w:i/>
        </w:rPr>
        <w:t>MERCOSUR</w:t>
      </w:r>
      <w:r w:rsidR="007A768B" w:rsidRPr="009A777E">
        <w:rPr>
          <w:rFonts w:ascii="Arial" w:hAnsi="Arial" w:cs="Arial"/>
          <w:i/>
        </w:rPr>
        <w:t xml:space="preserve"> (</w:t>
      </w:r>
      <w:r w:rsidR="00305268" w:rsidRPr="009A777E">
        <w:rPr>
          <w:rFonts w:ascii="Arial" w:hAnsi="Arial" w:cs="Arial"/>
          <w:i/>
        </w:rPr>
        <w:t>PARLASUR</w:t>
      </w:r>
      <w:r w:rsidR="007A768B" w:rsidRPr="009A777E">
        <w:rPr>
          <w:rFonts w:ascii="Arial" w:hAnsi="Arial" w:cs="Arial"/>
          <w:i/>
        </w:rPr>
        <w:t>)</w:t>
      </w:r>
      <w:r w:rsidR="007A768B">
        <w:rPr>
          <w:rFonts w:ascii="Arial" w:hAnsi="Arial" w:cs="Arial"/>
        </w:rPr>
        <w:t>”. Asimismo, se reconocen los instrumentos jurídicos y políticos para el trabajo cotidiano y consecución de los ODS como “</w:t>
      </w:r>
      <w:r w:rsidR="007A768B" w:rsidRPr="009A777E">
        <w:rPr>
          <w:rFonts w:ascii="Arial" w:hAnsi="Arial" w:cs="Arial"/>
          <w:i/>
        </w:rPr>
        <w:t xml:space="preserve">el Acuerdo de Residencia para Nacionales de los Estados Parte del </w:t>
      </w:r>
      <w:r w:rsidR="001526EB" w:rsidRPr="009A777E">
        <w:rPr>
          <w:rFonts w:ascii="Arial" w:hAnsi="Arial" w:cs="Arial"/>
          <w:i/>
        </w:rPr>
        <w:t>MERCOSUR</w:t>
      </w:r>
      <w:r w:rsidR="007A768B" w:rsidRPr="009A777E">
        <w:rPr>
          <w:rFonts w:ascii="Arial" w:hAnsi="Arial" w:cs="Arial"/>
          <w:i/>
        </w:rPr>
        <w:t xml:space="preserve">, el Acuerdo Multilateral de Seguridad Social, la Declaración Sociolaboral del </w:t>
      </w:r>
      <w:r w:rsidR="001526EB" w:rsidRPr="009A777E">
        <w:rPr>
          <w:rFonts w:ascii="Arial" w:hAnsi="Arial" w:cs="Arial"/>
          <w:i/>
        </w:rPr>
        <w:t>MERCOSUR</w:t>
      </w:r>
      <w:r w:rsidR="007A768B" w:rsidRPr="009A777E">
        <w:rPr>
          <w:rFonts w:ascii="Arial" w:hAnsi="Arial" w:cs="Arial"/>
          <w:i/>
        </w:rPr>
        <w:t xml:space="preserve">, el Plan de Acción del Estatuto de la Ciudadanía y el Plan Estratégico de Acción Social, apenas para citar, son los más relevantes y que apuntan a profundizar y consolidar lo previsto en los ODS. El propio PEAS junto al Estatuto de la Ciudadanía son documentos programáticos que en la mayoría de sus directrices coinciden plenamente con la Agenda de los ODS, convirtiéndose en un verdadera Agenda del </w:t>
      </w:r>
      <w:r w:rsidR="001526EB" w:rsidRPr="009A777E">
        <w:rPr>
          <w:rFonts w:ascii="Arial" w:hAnsi="Arial" w:cs="Arial"/>
          <w:i/>
        </w:rPr>
        <w:t>MERCOSUR</w:t>
      </w:r>
      <w:r w:rsidR="007A768B" w:rsidRPr="009A777E">
        <w:rPr>
          <w:rFonts w:ascii="Arial" w:hAnsi="Arial" w:cs="Arial"/>
          <w:i/>
        </w:rPr>
        <w:t xml:space="preserve"> para la implementación de los ODS</w:t>
      </w:r>
      <w:r w:rsidR="00FE3290" w:rsidRPr="009A777E">
        <w:rPr>
          <w:rFonts w:ascii="Arial" w:hAnsi="Arial" w:cs="Arial"/>
          <w:i/>
        </w:rPr>
        <w:t>”</w:t>
      </w:r>
      <w:r w:rsidR="007A768B">
        <w:rPr>
          <w:rFonts w:ascii="Arial" w:hAnsi="Arial" w:cs="Arial"/>
        </w:rPr>
        <w:t xml:space="preserve"> (Revista </w:t>
      </w:r>
      <w:r w:rsidR="00305268">
        <w:rPr>
          <w:rFonts w:ascii="Arial" w:hAnsi="Arial" w:cs="Arial"/>
        </w:rPr>
        <w:t>PARLASUR</w:t>
      </w:r>
      <w:r w:rsidR="007A768B">
        <w:rPr>
          <w:rFonts w:ascii="Arial" w:hAnsi="Arial" w:cs="Arial"/>
        </w:rPr>
        <w:t>, 2017: 8).</w:t>
      </w:r>
      <w:r w:rsidR="00C861DA">
        <w:rPr>
          <w:rFonts w:ascii="Arial" w:hAnsi="Arial" w:cs="Arial"/>
        </w:rPr>
        <w:t xml:space="preserve"> </w:t>
      </w:r>
    </w:p>
    <w:p w14:paraId="1507AE00" w14:textId="51DCBC4F" w:rsidR="00A006C9" w:rsidRDefault="00682488" w:rsidP="00380CC8">
      <w:pPr>
        <w:jc w:val="both"/>
        <w:rPr>
          <w:rFonts w:ascii="Arial" w:hAnsi="Arial" w:cs="Arial"/>
        </w:rPr>
      </w:pPr>
      <w:r>
        <w:rPr>
          <w:rFonts w:ascii="Arial" w:hAnsi="Arial" w:cs="Arial"/>
        </w:rPr>
        <w:t>E</w:t>
      </w:r>
      <w:r w:rsidR="00C861DA">
        <w:rPr>
          <w:rFonts w:ascii="Arial" w:hAnsi="Arial" w:cs="Arial"/>
        </w:rPr>
        <w:t xml:space="preserve">xiste un potencial importante de </w:t>
      </w:r>
      <w:r>
        <w:rPr>
          <w:rFonts w:ascii="Arial" w:hAnsi="Arial" w:cs="Arial"/>
        </w:rPr>
        <w:t xml:space="preserve">progreso </w:t>
      </w:r>
      <w:r w:rsidR="00C861DA">
        <w:rPr>
          <w:rFonts w:ascii="Arial" w:hAnsi="Arial" w:cs="Arial"/>
        </w:rPr>
        <w:t xml:space="preserve">al lograrse una mejor </w:t>
      </w:r>
      <w:r w:rsidR="00117645" w:rsidRPr="00201D7E">
        <w:rPr>
          <w:rFonts w:ascii="Arial" w:hAnsi="Arial" w:cs="Arial"/>
        </w:rPr>
        <w:t xml:space="preserve">articulación </w:t>
      </w:r>
      <w:r w:rsidR="00C861DA">
        <w:rPr>
          <w:rFonts w:ascii="Arial" w:hAnsi="Arial" w:cs="Arial"/>
        </w:rPr>
        <w:t xml:space="preserve">intersectorial </w:t>
      </w:r>
      <w:r w:rsidR="00117645" w:rsidRPr="00201D7E">
        <w:rPr>
          <w:rFonts w:ascii="Arial" w:hAnsi="Arial" w:cs="Arial"/>
        </w:rPr>
        <w:t xml:space="preserve">del PEAS </w:t>
      </w:r>
      <w:r w:rsidR="00C565E8" w:rsidRPr="00201D7E">
        <w:rPr>
          <w:rFonts w:ascii="Arial" w:hAnsi="Arial" w:cs="Arial"/>
        </w:rPr>
        <w:t>con</w:t>
      </w:r>
      <w:r w:rsidR="00117645" w:rsidRPr="00201D7E">
        <w:rPr>
          <w:rFonts w:ascii="Arial" w:hAnsi="Arial" w:cs="Arial"/>
        </w:rPr>
        <w:t xml:space="preserve"> los diversos planes de </w:t>
      </w:r>
      <w:r w:rsidR="00C565E8" w:rsidRPr="00201D7E">
        <w:rPr>
          <w:rFonts w:ascii="Arial" w:hAnsi="Arial" w:cs="Arial"/>
        </w:rPr>
        <w:t>trabajo</w:t>
      </w:r>
      <w:r w:rsidR="00117645" w:rsidRPr="00201D7E">
        <w:rPr>
          <w:rFonts w:ascii="Arial" w:hAnsi="Arial" w:cs="Arial"/>
        </w:rPr>
        <w:t xml:space="preserve"> existentes</w:t>
      </w:r>
      <w:r w:rsidR="00C861DA">
        <w:rPr>
          <w:rFonts w:ascii="Arial" w:hAnsi="Arial" w:cs="Arial"/>
        </w:rPr>
        <w:t xml:space="preserve"> </w:t>
      </w:r>
      <w:r w:rsidR="00117645" w:rsidRPr="00201D7E">
        <w:rPr>
          <w:rFonts w:ascii="Arial" w:hAnsi="Arial" w:cs="Arial"/>
        </w:rPr>
        <w:t xml:space="preserve">en </w:t>
      </w:r>
      <w:r w:rsidR="00C861DA">
        <w:rPr>
          <w:rFonts w:ascii="Arial" w:hAnsi="Arial" w:cs="Arial"/>
        </w:rPr>
        <w:t xml:space="preserve">materia de </w:t>
      </w:r>
      <w:r w:rsidR="00117645" w:rsidRPr="00201D7E">
        <w:rPr>
          <w:rFonts w:ascii="Arial" w:hAnsi="Arial" w:cs="Arial"/>
        </w:rPr>
        <w:t xml:space="preserve">Educación, Salud y Trabajo, </w:t>
      </w:r>
      <w:r w:rsidR="00C861DA">
        <w:rPr>
          <w:rFonts w:ascii="Arial" w:hAnsi="Arial" w:cs="Arial"/>
        </w:rPr>
        <w:t>entre otros sectores clave</w:t>
      </w:r>
      <w:r w:rsidR="00117645" w:rsidRPr="00201D7E">
        <w:rPr>
          <w:rFonts w:ascii="Arial" w:hAnsi="Arial" w:cs="Arial"/>
        </w:rPr>
        <w:t>.</w:t>
      </w:r>
      <w:r w:rsidR="009321C2">
        <w:rPr>
          <w:rFonts w:ascii="Arial" w:hAnsi="Arial" w:cs="Arial"/>
          <w:lang w:val="es-419"/>
        </w:rPr>
        <w:t xml:space="preserve"> </w:t>
      </w:r>
      <w:r w:rsidR="009321C2" w:rsidRPr="009321C2">
        <w:rPr>
          <w:rFonts w:ascii="Arial" w:hAnsi="Arial" w:cs="Arial"/>
        </w:rPr>
        <w:t>Asimismo, es necesar</w:t>
      </w:r>
      <w:r w:rsidR="009321C2" w:rsidRPr="00AE7E73">
        <w:rPr>
          <w:rFonts w:ascii="Arial" w:hAnsi="Arial" w:cs="Arial"/>
        </w:rPr>
        <w:t xml:space="preserve">io consolidar </w:t>
      </w:r>
      <w:r w:rsidR="00C817B6" w:rsidRPr="00AE7E73">
        <w:rPr>
          <w:rFonts w:ascii="Arial" w:hAnsi="Arial" w:cs="Arial"/>
        </w:rPr>
        <w:t>un ámbito de trabajo permanente, que vincule a las áreas de</w:t>
      </w:r>
      <w:r w:rsidR="00DC6C4B" w:rsidRPr="000D27F6">
        <w:rPr>
          <w:rFonts w:ascii="Arial" w:hAnsi="Arial" w:cs="Arial"/>
        </w:rPr>
        <w:t xml:space="preserve"> </w:t>
      </w:r>
      <w:r w:rsidR="00C817B6" w:rsidRPr="000D27F6">
        <w:rPr>
          <w:rFonts w:ascii="Arial" w:hAnsi="Arial" w:cs="Arial"/>
        </w:rPr>
        <w:t>investigación social estatales (Ministerios), con los institutos nacionales de</w:t>
      </w:r>
      <w:r w:rsidR="00DC6C4B" w:rsidRPr="000D27F6">
        <w:rPr>
          <w:rFonts w:ascii="Arial" w:hAnsi="Arial" w:cs="Arial"/>
        </w:rPr>
        <w:t xml:space="preserve"> </w:t>
      </w:r>
      <w:r w:rsidR="00C817B6" w:rsidRPr="000D27F6">
        <w:rPr>
          <w:rFonts w:ascii="Arial" w:hAnsi="Arial" w:cs="Arial"/>
        </w:rPr>
        <w:t>estadística, de cara a establecer un plan para el fortalecimiento de capacidades</w:t>
      </w:r>
      <w:r w:rsidR="00DC6C4B" w:rsidRPr="000D27F6">
        <w:rPr>
          <w:rFonts w:ascii="Arial" w:hAnsi="Arial" w:cs="Arial"/>
        </w:rPr>
        <w:t xml:space="preserve"> </w:t>
      </w:r>
      <w:r w:rsidR="00C817B6" w:rsidRPr="000D27F6">
        <w:rPr>
          <w:rFonts w:ascii="Arial" w:hAnsi="Arial" w:cs="Arial"/>
        </w:rPr>
        <w:t xml:space="preserve">institucionales para </w:t>
      </w:r>
      <w:r w:rsidR="00C817B6" w:rsidRPr="00C10186">
        <w:rPr>
          <w:rFonts w:ascii="Arial" w:hAnsi="Arial" w:cs="Arial"/>
        </w:rPr>
        <w:t>el cumplimiento de los Objetivos del PEAS (</w:t>
      </w:r>
      <w:r w:rsidR="00C817B6" w:rsidRPr="001526EB">
        <w:rPr>
          <w:rFonts w:ascii="Arial" w:hAnsi="Arial" w:cs="Arial"/>
        </w:rPr>
        <w:t>armonizado</w:t>
      </w:r>
      <w:r w:rsidR="009321C2" w:rsidRPr="001526EB">
        <w:rPr>
          <w:rFonts w:ascii="Arial" w:hAnsi="Arial" w:cs="Arial"/>
        </w:rPr>
        <w:t>s</w:t>
      </w:r>
      <w:r w:rsidR="00C817B6" w:rsidRPr="001526EB">
        <w:rPr>
          <w:rFonts w:ascii="Arial" w:hAnsi="Arial" w:cs="Arial"/>
        </w:rPr>
        <w:t xml:space="preserve"> con los ODS). </w:t>
      </w:r>
      <w:r w:rsidR="009321C2" w:rsidRPr="001526EB">
        <w:rPr>
          <w:rFonts w:ascii="Arial" w:hAnsi="Arial" w:cs="Arial"/>
        </w:rPr>
        <w:t xml:space="preserve">Por otro lado, este </w:t>
      </w:r>
      <w:r w:rsidR="009321C2" w:rsidRPr="00E14527">
        <w:rPr>
          <w:rFonts w:ascii="Arial" w:hAnsi="Arial" w:cs="Arial"/>
        </w:rPr>
        <w:t xml:space="preserve">ámbito de colaboración reafirma el </w:t>
      </w:r>
      <w:r w:rsidR="009A6030" w:rsidRPr="00E064B5">
        <w:rPr>
          <w:rFonts w:ascii="Arial" w:hAnsi="Arial" w:cs="Arial"/>
        </w:rPr>
        <w:t xml:space="preserve">vínculo del Plan con las políticas públicas de los Estados parte, dinamizando el </w:t>
      </w:r>
      <w:r w:rsidR="009A6030" w:rsidRPr="009321C2">
        <w:rPr>
          <w:rFonts w:ascii="Arial" w:hAnsi="Arial" w:cs="Arial"/>
        </w:rPr>
        <w:t>proceso de convergencia entre los desempeños de los países</w:t>
      </w:r>
      <w:r w:rsidR="009321C2" w:rsidRPr="001C1C41">
        <w:rPr>
          <w:rFonts w:ascii="Arial" w:hAnsi="Arial" w:cs="Arial"/>
        </w:rPr>
        <w:t xml:space="preserve"> </w:t>
      </w:r>
      <w:r w:rsidR="009A6030" w:rsidRPr="001C1C41">
        <w:rPr>
          <w:rFonts w:ascii="Arial" w:hAnsi="Arial" w:cs="Arial"/>
        </w:rPr>
        <w:t xml:space="preserve">en </w:t>
      </w:r>
      <w:r w:rsidR="009321C2" w:rsidRPr="001C1C41">
        <w:rPr>
          <w:rFonts w:ascii="Arial" w:hAnsi="Arial" w:cs="Arial"/>
        </w:rPr>
        <w:t xml:space="preserve">las </w:t>
      </w:r>
      <w:r w:rsidR="009A6030" w:rsidRPr="000D27F6">
        <w:rPr>
          <w:rFonts w:ascii="Arial" w:hAnsi="Arial" w:cs="Arial"/>
        </w:rPr>
        <w:t>áreas de política social</w:t>
      </w:r>
      <w:r w:rsidR="009A6030" w:rsidRPr="00201D7E">
        <w:rPr>
          <w:rFonts w:ascii="Arial" w:hAnsi="Arial" w:cs="Arial"/>
        </w:rPr>
        <w:t xml:space="preserve">. </w:t>
      </w:r>
      <w:r w:rsidR="009321C2">
        <w:rPr>
          <w:rFonts w:ascii="Arial" w:hAnsi="Arial" w:cs="Arial"/>
        </w:rPr>
        <w:t xml:space="preserve">Es decir, contribuye directamente a una </w:t>
      </w:r>
      <w:r w:rsidR="009321C2">
        <w:rPr>
          <w:rFonts w:ascii="Arial" w:hAnsi="Arial" w:cs="Arial"/>
        </w:rPr>
        <w:lastRenderedPageBreak/>
        <w:t xml:space="preserve">convergencia general en términos del bloque y a una posible transferencia de políticas públicas con base en la identificación de buenas experiencias para su promoción e intercambio. </w:t>
      </w:r>
      <w:r w:rsidR="009A6030" w:rsidRPr="00201D7E">
        <w:rPr>
          <w:rFonts w:ascii="Arial" w:hAnsi="Arial" w:cs="Arial"/>
        </w:rPr>
        <w:t xml:space="preserve">En este aspecto, instrumentos que viene impulsando el ISM, como el Observatorio de Políticas Sociales, el Sistema de Información del PEAS y la Escuela de Políticas Sociales, pueden tener un importante papel. </w:t>
      </w:r>
    </w:p>
    <w:p w14:paraId="66FA8249" w14:textId="5C3AD07C" w:rsidR="0054148F" w:rsidRPr="00E064B5" w:rsidRDefault="0054148F" w:rsidP="0054148F">
      <w:pPr>
        <w:jc w:val="both"/>
        <w:rPr>
          <w:rFonts w:ascii="Arial" w:hAnsi="Arial" w:cs="Arial"/>
          <w:lang w:val="es-AR"/>
        </w:rPr>
      </w:pPr>
      <w:r w:rsidRPr="0054148F">
        <w:rPr>
          <w:rFonts w:ascii="Arial" w:hAnsi="Arial" w:cs="Arial"/>
          <w:lang w:val="es-ES_tradnl"/>
        </w:rPr>
        <w:t xml:space="preserve">Los festejos por los </w:t>
      </w:r>
      <w:r w:rsidRPr="00682488">
        <w:rPr>
          <w:rFonts w:ascii="Arial" w:hAnsi="Arial" w:cs="Arial"/>
          <w:i/>
          <w:lang w:val="es-ES_tradnl"/>
        </w:rPr>
        <w:t>40 años del Plan de Acción de Buenos Aires</w:t>
      </w:r>
      <w:r w:rsidR="004859EC">
        <w:rPr>
          <w:rFonts w:ascii="Arial" w:hAnsi="Arial" w:cs="Arial"/>
          <w:lang w:val="es-ES_tradnl"/>
        </w:rPr>
        <w:t>, conocido</w:t>
      </w:r>
      <w:r w:rsidR="00F34561">
        <w:rPr>
          <w:rFonts w:ascii="Arial" w:hAnsi="Arial" w:cs="Arial"/>
          <w:lang w:val="es-ES_tradnl"/>
        </w:rPr>
        <w:t>s</w:t>
      </w:r>
      <w:r w:rsidR="004859EC">
        <w:rPr>
          <w:rFonts w:ascii="Arial" w:hAnsi="Arial" w:cs="Arial"/>
          <w:lang w:val="es-ES_tradnl"/>
        </w:rPr>
        <w:t xml:space="preserve"> como PABAMA+40, </w:t>
      </w:r>
      <w:r w:rsidRPr="00682488">
        <w:rPr>
          <w:rFonts w:ascii="Arial" w:hAnsi="Arial" w:cs="Arial"/>
          <w:lang w:val="es-ES_tradnl"/>
        </w:rPr>
        <w:t>marcan un hito histórico que pone en relevancia que la cooperación técnica para el desarrollo (CTPD) es un proceso multidimensional de alcance “bilateral o multilateral y su carácter, subregional, regional o interregional”. En este sentido, el Instituto Social del MERCOSUR reconoce y valora que la Conferencia de Alto Nivel de Naciones Unidas sobre Cooperación Sur-Sur, que tendrá lugar en Buenos Aires del 20 al 22 de marzo de 2019,</w:t>
      </w:r>
      <w:r w:rsidRPr="00682488">
        <w:rPr>
          <w:rFonts w:ascii="Arial" w:hAnsi="Arial" w:cs="Arial"/>
          <w:lang w:val="es-AR"/>
        </w:rPr>
        <w:t xml:space="preserve"> brinda una oportunidad </w:t>
      </w:r>
      <w:r w:rsidR="00682488" w:rsidRPr="00682488">
        <w:rPr>
          <w:rFonts w:ascii="Arial" w:hAnsi="Arial" w:cs="Arial"/>
          <w:lang w:val="es-AR"/>
        </w:rPr>
        <w:t xml:space="preserve">significativa </w:t>
      </w:r>
      <w:r w:rsidRPr="00682488">
        <w:rPr>
          <w:rFonts w:ascii="Arial" w:hAnsi="Arial" w:cs="Arial"/>
          <w:lang w:val="es-AR"/>
        </w:rPr>
        <w:t xml:space="preserve">para revisar lecciones aprendidas, </w:t>
      </w:r>
      <w:r w:rsidRPr="00682488">
        <w:rPr>
          <w:rFonts w:ascii="Arial" w:hAnsi="Arial" w:cs="Arial"/>
          <w:bCs/>
          <w:lang w:val="es-AR"/>
        </w:rPr>
        <w:t>identificar nuevas áreas y mecanismos donde la cooperación Sur-Sur</w:t>
      </w:r>
      <w:r w:rsidRPr="00682488">
        <w:rPr>
          <w:rFonts w:ascii="Arial" w:hAnsi="Arial" w:cs="Arial"/>
          <w:lang w:val="es-AR"/>
        </w:rPr>
        <w:t xml:space="preserve"> y triangular puede agregar valor y tener mayor impacto, y comprometerse a un seguimiento adecuado </w:t>
      </w:r>
      <w:r w:rsidR="00682488" w:rsidRPr="00682488">
        <w:rPr>
          <w:rFonts w:ascii="Arial" w:hAnsi="Arial" w:cs="Arial"/>
          <w:lang w:val="es-AR"/>
        </w:rPr>
        <w:t xml:space="preserve">y sistemático del progreso en las metas e indicadores de los ODS </w:t>
      </w:r>
      <w:r w:rsidRPr="00682488">
        <w:rPr>
          <w:rFonts w:ascii="Arial" w:hAnsi="Arial" w:cs="Arial"/>
          <w:lang w:val="es-AR"/>
        </w:rPr>
        <w:t xml:space="preserve">en el marco del sistema de las Naciones Unidas. La mayor parte de las actividades llevadas a cabo por los </w:t>
      </w:r>
      <w:r w:rsidRPr="00682488">
        <w:rPr>
          <w:rFonts w:ascii="Arial" w:hAnsi="Arial" w:cs="Arial"/>
          <w:lang w:val="es-ES_tradnl"/>
        </w:rPr>
        <w:t xml:space="preserve">Departamentos de </w:t>
      </w:r>
      <w:r w:rsidRPr="00682488">
        <w:rPr>
          <w:rFonts w:ascii="Arial" w:hAnsi="Arial" w:cs="Arial"/>
          <w:lang w:val="es-AR"/>
        </w:rPr>
        <w:t>Promoción e Intercambio de Políticas Sociales y de Investigación y Gestión de la Información pueden ser catalogadas dentro de las modalidades</w:t>
      </w:r>
      <w:r w:rsidR="00A205D0">
        <w:rPr>
          <w:rFonts w:ascii="Arial" w:hAnsi="Arial" w:cs="Arial"/>
          <w:lang w:val="es-AR"/>
        </w:rPr>
        <w:t xml:space="preserve"> de cooperación Sur-Sur y t</w:t>
      </w:r>
      <w:r w:rsidRPr="00682488">
        <w:rPr>
          <w:rFonts w:ascii="Arial" w:hAnsi="Arial" w:cs="Arial"/>
          <w:lang w:val="es-AR"/>
        </w:rPr>
        <w:t>riangular.</w:t>
      </w:r>
      <w:r w:rsidRPr="00E064B5">
        <w:rPr>
          <w:rFonts w:ascii="Arial" w:hAnsi="Arial" w:cs="Arial"/>
          <w:lang w:val="es-AR"/>
        </w:rPr>
        <w:t xml:space="preserve"> </w:t>
      </w:r>
    </w:p>
    <w:p w14:paraId="4F4DF342" w14:textId="7751C9B0" w:rsidR="0054148F" w:rsidRDefault="00FE3290" w:rsidP="00380CC8">
      <w:pPr>
        <w:jc w:val="both"/>
        <w:rPr>
          <w:rFonts w:ascii="Arial" w:hAnsi="Arial" w:cs="Arial"/>
          <w:lang w:val="es-MX"/>
        </w:rPr>
      </w:pPr>
      <w:r>
        <w:rPr>
          <w:rFonts w:ascii="Arial" w:hAnsi="Arial" w:cs="Arial"/>
          <w:lang w:val="es-AR"/>
        </w:rPr>
        <w:t>En conclusión,</w:t>
      </w:r>
      <w:r w:rsidRPr="00E064B5">
        <w:rPr>
          <w:rFonts w:ascii="Arial" w:hAnsi="Arial" w:cs="Arial"/>
          <w:lang w:val="es-AR"/>
        </w:rPr>
        <w:t xml:space="preserve"> </w:t>
      </w:r>
      <w:r w:rsidR="00A006C9" w:rsidRPr="00E064B5">
        <w:rPr>
          <w:rFonts w:ascii="Arial" w:hAnsi="Arial" w:cs="Arial"/>
          <w:lang w:val="es-AR"/>
        </w:rPr>
        <w:t>construir una verdadera gobernanza multidimensional, multi</w:t>
      </w:r>
      <w:r w:rsidR="0054148F">
        <w:rPr>
          <w:rFonts w:ascii="Arial" w:hAnsi="Arial" w:cs="Arial"/>
          <w:lang w:val="es-AR"/>
        </w:rPr>
        <w:t>nive</w:t>
      </w:r>
      <w:r w:rsidR="00A006C9" w:rsidRPr="00E064B5">
        <w:rPr>
          <w:rFonts w:ascii="Arial" w:hAnsi="Arial" w:cs="Arial"/>
          <w:lang w:val="es-AR"/>
        </w:rPr>
        <w:t xml:space="preserve">l y multiactor es de vital importancia involucrar a los diversos poderes del Estado, y a éste en todos sus niveles (administraciones subnacionales) y </w:t>
      </w:r>
      <w:r w:rsidR="0054148F">
        <w:rPr>
          <w:rFonts w:ascii="Arial" w:hAnsi="Arial" w:cs="Arial"/>
          <w:lang w:val="es-AR"/>
        </w:rPr>
        <w:t xml:space="preserve">a </w:t>
      </w:r>
      <w:r w:rsidR="00A006C9" w:rsidRPr="00E064B5">
        <w:rPr>
          <w:rFonts w:ascii="Arial" w:hAnsi="Arial" w:cs="Arial"/>
          <w:lang w:val="es-AR"/>
        </w:rPr>
        <w:t>la sociedad civil en su conjunto para “garantizar que nadie se quede afuera del desarrollo”</w:t>
      </w:r>
      <w:r w:rsidR="0054148F">
        <w:rPr>
          <w:rFonts w:ascii="Arial" w:hAnsi="Arial" w:cs="Arial"/>
          <w:lang w:val="es-AR"/>
        </w:rPr>
        <w:t xml:space="preserve"> así como consolidar las prácticas de la cooperación técnica entre países en condiciones similares de desarrollo.</w:t>
      </w:r>
      <w:r>
        <w:rPr>
          <w:rFonts w:ascii="Arial" w:hAnsi="Arial" w:cs="Arial"/>
          <w:lang w:val="es-AR"/>
        </w:rPr>
        <w:t xml:space="preserve"> </w:t>
      </w:r>
      <w:r w:rsidR="004859EC">
        <w:rPr>
          <w:rFonts w:ascii="Arial" w:hAnsi="Arial" w:cs="Arial"/>
          <w:lang w:val="es-AR"/>
        </w:rPr>
        <w:t xml:space="preserve">En esa tarea, el MERCOSUR está en condiciones de realizar un aporte sustantivo a la construcción de una </w:t>
      </w:r>
      <w:r w:rsidR="004859EC">
        <w:rPr>
          <w:rFonts w:ascii="Arial" w:hAnsi="Arial" w:cs="Arial"/>
          <w:i/>
          <w:lang w:val="es-AR"/>
        </w:rPr>
        <w:t>red densa de cooperación</w:t>
      </w:r>
      <w:r w:rsidR="004859EC">
        <w:rPr>
          <w:rFonts w:ascii="Arial" w:hAnsi="Arial" w:cs="Arial"/>
          <w:lang w:val="es-AR"/>
        </w:rPr>
        <w:t xml:space="preserve">, que permita afirmar una </w:t>
      </w:r>
      <w:r w:rsidR="004859EC">
        <w:rPr>
          <w:rFonts w:ascii="Arial" w:hAnsi="Arial" w:cs="Arial"/>
          <w:i/>
          <w:lang w:val="es-AR"/>
        </w:rPr>
        <w:t>descolonización</w:t>
      </w:r>
      <w:r w:rsidR="004859EC">
        <w:rPr>
          <w:rFonts w:ascii="Arial" w:hAnsi="Arial" w:cs="Arial"/>
          <w:lang w:val="es-AR"/>
        </w:rPr>
        <w:t xml:space="preserve"> de los procesos de la cooperación global para el desarrollo.</w:t>
      </w:r>
    </w:p>
    <w:p w14:paraId="1A3A58B0" w14:textId="74287644" w:rsidR="00E8344A" w:rsidRPr="00E064B5" w:rsidRDefault="00E8344A" w:rsidP="00380CC8">
      <w:pPr>
        <w:jc w:val="both"/>
        <w:rPr>
          <w:rFonts w:ascii="Arial" w:hAnsi="Arial" w:cs="Arial"/>
        </w:rPr>
      </w:pPr>
      <w:r w:rsidRPr="00201D7E">
        <w:rPr>
          <w:rFonts w:ascii="Arial" w:hAnsi="Arial" w:cs="Arial"/>
          <w:lang w:val="es-MX"/>
        </w:rPr>
        <w:br w:type="page"/>
      </w:r>
    </w:p>
    <w:p w14:paraId="4B690E43" w14:textId="77777777" w:rsidR="009C3094" w:rsidRPr="00201D7E" w:rsidRDefault="009C3094" w:rsidP="00AF7DA3">
      <w:pPr>
        <w:spacing w:line="240" w:lineRule="auto"/>
        <w:ind w:left="709" w:hanging="709"/>
        <w:jc w:val="both"/>
        <w:outlineLvl w:val="0"/>
        <w:rPr>
          <w:rFonts w:ascii="Arial" w:hAnsi="Arial" w:cs="Arial"/>
          <w:b/>
          <w:lang w:val="es-MX"/>
        </w:rPr>
      </w:pPr>
      <w:r w:rsidRPr="00201D7E">
        <w:rPr>
          <w:rFonts w:ascii="Arial" w:hAnsi="Arial" w:cs="Arial"/>
          <w:b/>
          <w:lang w:val="es-MX"/>
        </w:rPr>
        <w:lastRenderedPageBreak/>
        <w:t xml:space="preserve">Bibliografía </w:t>
      </w:r>
    </w:p>
    <w:p w14:paraId="1854EE45" w14:textId="77777777" w:rsidR="00ED4084" w:rsidRDefault="00ED4084" w:rsidP="00E064B5">
      <w:pPr>
        <w:spacing w:line="240" w:lineRule="auto"/>
        <w:ind w:left="709" w:hanging="709"/>
        <w:jc w:val="both"/>
        <w:rPr>
          <w:rFonts w:ascii="Arial" w:hAnsi="Arial" w:cs="Arial"/>
          <w:lang w:val="es-MX"/>
        </w:rPr>
      </w:pPr>
    </w:p>
    <w:p w14:paraId="0D457CF3" w14:textId="77777777" w:rsidR="00BC1EF8" w:rsidRDefault="00BC1EF8" w:rsidP="00E064B5">
      <w:pPr>
        <w:spacing w:line="240" w:lineRule="auto"/>
        <w:ind w:left="709" w:hanging="709"/>
        <w:jc w:val="both"/>
        <w:rPr>
          <w:rFonts w:ascii="Arial" w:hAnsi="Arial" w:cs="Arial"/>
          <w:lang w:val="es-MX"/>
        </w:rPr>
      </w:pPr>
      <w:r>
        <w:rPr>
          <w:rFonts w:ascii="Arial" w:hAnsi="Arial" w:cs="Arial"/>
          <w:lang w:val="es-MX"/>
        </w:rPr>
        <w:t>Fuentes primarias:</w:t>
      </w:r>
    </w:p>
    <w:p w14:paraId="3DD72C60" w14:textId="562C644E" w:rsidR="00BC1EF8" w:rsidRPr="00BC1EF8" w:rsidRDefault="001526EB" w:rsidP="00E064B5">
      <w:pPr>
        <w:spacing w:line="240" w:lineRule="auto"/>
        <w:ind w:left="709" w:hanging="709"/>
        <w:jc w:val="both"/>
        <w:rPr>
          <w:rFonts w:ascii="Arial" w:hAnsi="Arial" w:cs="Arial"/>
          <w:lang w:val="es-MX"/>
        </w:rPr>
      </w:pPr>
      <w:r>
        <w:rPr>
          <w:rFonts w:ascii="Arial" w:hAnsi="Arial" w:cs="Arial"/>
          <w:lang w:val="es-MX"/>
        </w:rPr>
        <w:t>MERCOSUR</w:t>
      </w:r>
      <w:r w:rsidR="00BC1EF8" w:rsidRPr="00BC1EF8">
        <w:rPr>
          <w:rFonts w:ascii="Arial" w:hAnsi="Arial" w:cs="Arial"/>
          <w:lang w:val="es-MX"/>
        </w:rPr>
        <w:t xml:space="preserve"> (2011)</w:t>
      </w:r>
      <w:r w:rsidR="00C83B59">
        <w:rPr>
          <w:rFonts w:ascii="Arial" w:hAnsi="Arial" w:cs="Arial"/>
          <w:lang w:val="es-MX"/>
        </w:rPr>
        <w:t>.</w:t>
      </w:r>
      <w:r w:rsidR="00BC1EF8" w:rsidRPr="00BC1EF8">
        <w:rPr>
          <w:rFonts w:ascii="Arial" w:hAnsi="Arial" w:cs="Arial"/>
          <w:lang w:val="es-MX"/>
        </w:rPr>
        <w:t xml:space="preserve"> </w:t>
      </w:r>
      <w:r w:rsidR="00BC1EF8" w:rsidRPr="007803CB">
        <w:rPr>
          <w:rFonts w:ascii="Arial" w:hAnsi="Arial" w:cs="Arial"/>
          <w:i/>
          <w:lang w:val="es-MX"/>
        </w:rPr>
        <w:t>Plan Estratégico de Acción Social.</w:t>
      </w:r>
      <w:r w:rsidR="00BC1EF8" w:rsidRPr="00BC1EF8">
        <w:rPr>
          <w:rFonts w:ascii="Arial" w:hAnsi="Arial" w:cs="Arial"/>
          <w:lang w:val="es-MX"/>
        </w:rPr>
        <w:t xml:space="preserve"> </w:t>
      </w:r>
      <w:r w:rsidR="007803CB">
        <w:rPr>
          <w:rFonts w:ascii="Arial" w:hAnsi="Arial" w:cs="Arial"/>
          <w:lang w:val="es-MX"/>
        </w:rPr>
        <w:t>Asunción, Instituto Social del MERCOSUR (</w:t>
      </w:r>
      <w:r w:rsidR="00BC1EF8" w:rsidRPr="00BC1EF8">
        <w:rPr>
          <w:rFonts w:ascii="Arial" w:hAnsi="Arial" w:cs="Arial"/>
          <w:lang w:val="es-MX"/>
        </w:rPr>
        <w:t>ISM</w:t>
      </w:r>
      <w:r w:rsidR="007803CB">
        <w:rPr>
          <w:rFonts w:ascii="Arial" w:hAnsi="Arial" w:cs="Arial"/>
          <w:lang w:val="es-MX"/>
        </w:rPr>
        <w:t>)</w:t>
      </w:r>
      <w:r w:rsidR="00BC1EF8" w:rsidRPr="00BC1EF8">
        <w:rPr>
          <w:rFonts w:ascii="Arial" w:hAnsi="Arial" w:cs="Arial"/>
          <w:lang w:val="es-MX"/>
        </w:rPr>
        <w:t>.</w:t>
      </w:r>
    </w:p>
    <w:p w14:paraId="02CE3E43" w14:textId="77777777" w:rsidR="00BC1EF8" w:rsidRPr="00ED4084" w:rsidRDefault="00BC1EF8" w:rsidP="00E064B5">
      <w:pPr>
        <w:spacing w:line="240" w:lineRule="auto"/>
        <w:ind w:left="709" w:hanging="709"/>
        <w:jc w:val="both"/>
        <w:rPr>
          <w:rFonts w:ascii="Arial" w:hAnsi="Arial" w:cs="Arial"/>
          <w:lang w:val="es-MX"/>
        </w:rPr>
      </w:pPr>
      <w:r w:rsidRPr="00BC1EF8">
        <w:rPr>
          <w:rFonts w:ascii="Arial" w:hAnsi="Arial" w:cs="Arial"/>
          <w:lang w:val="es-MX"/>
        </w:rPr>
        <w:t xml:space="preserve">OEA (2005). AG/RES 2074: Normas para la confección de los informes periódicos previstos en el Protocolo de San Salvador. </w:t>
      </w:r>
    </w:p>
    <w:p w14:paraId="3D374C95" w14:textId="77777777" w:rsidR="00BC1EF8" w:rsidRPr="00ED4084" w:rsidRDefault="00BC1EF8" w:rsidP="00E064B5">
      <w:pPr>
        <w:spacing w:line="240" w:lineRule="auto"/>
        <w:ind w:left="709" w:hanging="709"/>
        <w:jc w:val="both"/>
        <w:rPr>
          <w:rFonts w:ascii="Arial" w:hAnsi="Arial" w:cs="Arial"/>
          <w:lang w:val="es-MX"/>
        </w:rPr>
      </w:pPr>
      <w:r w:rsidRPr="00ED4084">
        <w:rPr>
          <w:rFonts w:ascii="Arial" w:hAnsi="Arial" w:cs="Arial"/>
          <w:lang w:val="es-MX"/>
        </w:rPr>
        <w:t xml:space="preserve">OEA (2012). Carta Social de las Américas. Aprobada 4 de junio de 2012. </w:t>
      </w:r>
    </w:p>
    <w:p w14:paraId="0D81CB79" w14:textId="77777777" w:rsidR="00BC1EF8" w:rsidRPr="00E6008D" w:rsidRDefault="00BC1EF8" w:rsidP="00E064B5">
      <w:pPr>
        <w:spacing w:line="240" w:lineRule="auto"/>
        <w:ind w:left="709" w:hanging="709"/>
        <w:jc w:val="both"/>
        <w:rPr>
          <w:rFonts w:ascii="Arial" w:hAnsi="Arial" w:cs="Arial"/>
          <w:lang w:val="es-MX"/>
        </w:rPr>
      </w:pPr>
      <w:r w:rsidRPr="00ED4084">
        <w:rPr>
          <w:rFonts w:ascii="Arial" w:hAnsi="Arial" w:cs="Arial"/>
          <w:lang w:val="es-MX"/>
        </w:rPr>
        <w:t>OEA (2015a). Plan de Acción de la Carta Social de las Américas</w:t>
      </w:r>
      <w:r w:rsidRPr="00764242">
        <w:rPr>
          <w:rFonts w:ascii="Arial" w:hAnsi="Arial" w:cs="Arial"/>
          <w:lang w:val="es-MX"/>
        </w:rPr>
        <w:t xml:space="preserve">. Aprobado 11 de febrero de 2015. </w:t>
      </w:r>
    </w:p>
    <w:p w14:paraId="4767952F" w14:textId="7AD4DAFE" w:rsidR="00BC1EF8" w:rsidRPr="00885BF4" w:rsidRDefault="00BC1EF8" w:rsidP="00E064B5">
      <w:pPr>
        <w:spacing w:line="240" w:lineRule="auto"/>
        <w:ind w:left="709" w:hanging="709"/>
        <w:jc w:val="both"/>
        <w:rPr>
          <w:rFonts w:ascii="Arial" w:hAnsi="Arial" w:cs="Arial"/>
          <w:lang w:val="es-PY"/>
        </w:rPr>
      </w:pPr>
      <w:r w:rsidRPr="00E6008D">
        <w:rPr>
          <w:rFonts w:ascii="Arial" w:hAnsi="Arial" w:cs="Arial"/>
          <w:lang w:val="es-MX"/>
        </w:rPr>
        <w:t>OEA (2015b). Indicadores de progreso para la medición de derechos contemplados en</w:t>
      </w:r>
      <w:r w:rsidR="007803CB">
        <w:rPr>
          <w:rFonts w:ascii="Arial" w:hAnsi="Arial" w:cs="Arial"/>
          <w:lang w:val="es-MX"/>
        </w:rPr>
        <w:t xml:space="preserve"> el Protocolo de San Salvador. </w:t>
      </w:r>
      <w:r w:rsidRPr="00E6008D">
        <w:rPr>
          <w:rFonts w:ascii="Arial" w:hAnsi="Arial" w:cs="Arial"/>
          <w:lang w:val="es-MX"/>
        </w:rPr>
        <w:t>Grupo de Trabajo para el análisis de los informes nacionales previstos en</w:t>
      </w:r>
      <w:r w:rsidR="007803CB">
        <w:rPr>
          <w:rFonts w:ascii="Arial" w:hAnsi="Arial" w:cs="Arial"/>
          <w:lang w:val="es-MX"/>
        </w:rPr>
        <w:t xml:space="preserve"> el Protocolo de San Salvador.</w:t>
      </w:r>
    </w:p>
    <w:p w14:paraId="6BD2F6B3" w14:textId="3E9B1632" w:rsidR="00BC1EF8" w:rsidRPr="00F0232B" w:rsidRDefault="00BC1EF8" w:rsidP="00E064B5">
      <w:pPr>
        <w:spacing w:line="240" w:lineRule="auto"/>
        <w:ind w:left="709" w:hanging="709"/>
        <w:jc w:val="both"/>
        <w:rPr>
          <w:rFonts w:ascii="Arial" w:hAnsi="Arial" w:cs="Arial"/>
          <w:lang w:val="en-US"/>
        </w:rPr>
      </w:pPr>
      <w:r w:rsidRPr="00577500">
        <w:rPr>
          <w:rFonts w:ascii="Arial" w:hAnsi="Arial" w:cs="Arial"/>
          <w:lang w:val="en-US"/>
        </w:rPr>
        <w:t>ONU (2015)</w:t>
      </w:r>
      <w:r w:rsidR="00C83B59">
        <w:rPr>
          <w:rFonts w:ascii="Arial" w:hAnsi="Arial" w:cs="Arial"/>
          <w:lang w:val="en-US"/>
        </w:rPr>
        <w:t>.</w:t>
      </w:r>
      <w:r w:rsidRPr="00577500">
        <w:rPr>
          <w:rFonts w:ascii="Arial" w:hAnsi="Arial" w:cs="Arial"/>
          <w:lang w:val="en-US"/>
        </w:rPr>
        <w:t xml:space="preserve"> Report of the Inter-Agency and Expert G</w:t>
      </w:r>
      <w:r w:rsidRPr="00F0232B">
        <w:rPr>
          <w:rFonts w:ascii="Arial" w:hAnsi="Arial" w:cs="Arial"/>
          <w:lang w:val="en-US"/>
        </w:rPr>
        <w:t>roup on sustainable Development Goal Indicators. Diciembre de 2015.</w:t>
      </w:r>
    </w:p>
    <w:p w14:paraId="174F2DF0" w14:textId="5661A746" w:rsidR="00BC1EF8" w:rsidRPr="00201D7E" w:rsidRDefault="00BC1EF8" w:rsidP="00E064B5">
      <w:pPr>
        <w:spacing w:line="240" w:lineRule="auto"/>
        <w:ind w:left="709" w:hanging="709"/>
        <w:jc w:val="both"/>
        <w:rPr>
          <w:rFonts w:ascii="Arial" w:hAnsi="Arial" w:cs="Arial"/>
          <w:lang w:val="es-MX"/>
        </w:rPr>
      </w:pPr>
      <w:r w:rsidRPr="00F0232B">
        <w:rPr>
          <w:rFonts w:ascii="Arial" w:hAnsi="Arial" w:cs="Arial"/>
          <w:lang w:val="en-US"/>
        </w:rPr>
        <w:t>ONU (2016)</w:t>
      </w:r>
      <w:r w:rsidR="00C83B59">
        <w:rPr>
          <w:rFonts w:ascii="Arial" w:hAnsi="Arial" w:cs="Arial"/>
          <w:lang w:val="en-US"/>
        </w:rPr>
        <w:t>.</w:t>
      </w:r>
      <w:r w:rsidRPr="00F0232B">
        <w:rPr>
          <w:rFonts w:ascii="Arial" w:hAnsi="Arial" w:cs="Arial"/>
          <w:lang w:val="en-US"/>
        </w:rPr>
        <w:t xml:space="preserve"> Sustainable Development Solutions Network. Preliminary Sustainable Develop</w:t>
      </w:r>
      <w:r w:rsidR="007803CB">
        <w:rPr>
          <w:rFonts w:ascii="Arial" w:hAnsi="Arial" w:cs="Arial"/>
          <w:lang w:val="en-US"/>
        </w:rPr>
        <w:t xml:space="preserve">ment Goal Index and Dashboard. </w:t>
      </w:r>
      <w:r w:rsidRPr="00201D7E">
        <w:rPr>
          <w:rFonts w:ascii="Arial" w:hAnsi="Arial" w:cs="Arial"/>
          <w:lang w:val="es-MX"/>
        </w:rPr>
        <w:t xml:space="preserve">Febrero </w:t>
      </w:r>
      <w:r w:rsidR="007803CB">
        <w:rPr>
          <w:rFonts w:ascii="Arial" w:hAnsi="Arial" w:cs="Arial"/>
          <w:lang w:val="es-MX"/>
        </w:rPr>
        <w:t xml:space="preserve">de </w:t>
      </w:r>
      <w:r w:rsidRPr="00201D7E">
        <w:rPr>
          <w:rFonts w:ascii="Arial" w:hAnsi="Arial" w:cs="Arial"/>
          <w:lang w:val="es-MX"/>
        </w:rPr>
        <w:t>2016.</w:t>
      </w:r>
    </w:p>
    <w:p w14:paraId="53A1FBDF" w14:textId="0915A3EF" w:rsidR="00BC1EF8" w:rsidRPr="00201D7E" w:rsidRDefault="00BC1EF8" w:rsidP="00E064B5">
      <w:pPr>
        <w:spacing w:line="240" w:lineRule="auto"/>
        <w:ind w:left="709" w:hanging="709"/>
        <w:jc w:val="both"/>
        <w:rPr>
          <w:rFonts w:ascii="Arial" w:hAnsi="Arial" w:cs="Arial"/>
          <w:lang w:val="es-MX"/>
        </w:rPr>
      </w:pPr>
      <w:r w:rsidRPr="00201D7E">
        <w:rPr>
          <w:rFonts w:ascii="Arial" w:hAnsi="Arial" w:cs="Arial"/>
          <w:lang w:val="es-MX"/>
        </w:rPr>
        <w:t>ONU (2016)</w:t>
      </w:r>
      <w:r w:rsidR="00C83B59">
        <w:rPr>
          <w:rFonts w:ascii="Arial" w:hAnsi="Arial" w:cs="Arial"/>
          <w:lang w:val="es-MX"/>
        </w:rPr>
        <w:t>.</w:t>
      </w:r>
      <w:r w:rsidRPr="00201D7E">
        <w:rPr>
          <w:rFonts w:ascii="Arial" w:hAnsi="Arial" w:cs="Arial"/>
          <w:lang w:val="es-MX"/>
        </w:rPr>
        <w:t xml:space="preserve"> The Sustainable Development Goals Report 2016. </w:t>
      </w:r>
    </w:p>
    <w:p w14:paraId="08486FE2" w14:textId="7B5B17B2" w:rsidR="00BC1EF8" w:rsidRPr="00201D7E" w:rsidRDefault="00BC1EF8" w:rsidP="00E064B5">
      <w:pPr>
        <w:spacing w:line="240" w:lineRule="auto"/>
        <w:ind w:left="709" w:hanging="709"/>
        <w:jc w:val="both"/>
        <w:rPr>
          <w:rFonts w:ascii="Arial" w:hAnsi="Arial" w:cs="Arial"/>
          <w:lang w:val="es-MX"/>
        </w:rPr>
      </w:pPr>
      <w:r w:rsidRPr="00201D7E">
        <w:rPr>
          <w:rFonts w:ascii="Arial" w:hAnsi="Arial" w:cs="Arial"/>
          <w:lang w:val="es-MX"/>
        </w:rPr>
        <w:t xml:space="preserve">ONU (2016). Progresos en los Objetivos de Desarrollo Sostenible. Informe del Secretario General. Junio </w:t>
      </w:r>
      <w:r w:rsidR="007803CB">
        <w:rPr>
          <w:rFonts w:ascii="Arial" w:hAnsi="Arial" w:cs="Arial"/>
          <w:lang w:val="es-MX"/>
        </w:rPr>
        <w:t xml:space="preserve">de </w:t>
      </w:r>
      <w:r w:rsidRPr="00201D7E">
        <w:rPr>
          <w:rFonts w:ascii="Arial" w:hAnsi="Arial" w:cs="Arial"/>
          <w:lang w:val="es-MX"/>
        </w:rPr>
        <w:t xml:space="preserve">2016. </w:t>
      </w:r>
    </w:p>
    <w:p w14:paraId="5DF8EAB8" w14:textId="77777777" w:rsidR="00BC1EF8" w:rsidRPr="00201D7E" w:rsidRDefault="00BC1EF8" w:rsidP="00E064B5">
      <w:pPr>
        <w:spacing w:line="240" w:lineRule="auto"/>
        <w:ind w:left="709" w:hanging="709"/>
        <w:jc w:val="both"/>
        <w:rPr>
          <w:rFonts w:ascii="Arial" w:hAnsi="Arial" w:cs="Arial"/>
          <w:lang w:val="es-MX"/>
        </w:rPr>
      </w:pPr>
      <w:r w:rsidRPr="00201D7E">
        <w:rPr>
          <w:rFonts w:ascii="Arial" w:hAnsi="Arial" w:cs="Arial"/>
          <w:lang w:val="es-MX"/>
        </w:rPr>
        <w:t xml:space="preserve">UNASUR (2012a). Agenda de Acciones Sociales Prioritarias. Decisión UNASUR Nro. 9/2012. </w:t>
      </w:r>
    </w:p>
    <w:p w14:paraId="315188D5" w14:textId="77777777" w:rsidR="00BC1EF8" w:rsidRPr="00201D7E" w:rsidRDefault="00BC1EF8" w:rsidP="00E064B5">
      <w:pPr>
        <w:spacing w:line="240" w:lineRule="auto"/>
        <w:ind w:left="709" w:hanging="709"/>
        <w:jc w:val="both"/>
        <w:rPr>
          <w:rFonts w:ascii="Arial" w:hAnsi="Arial" w:cs="Arial"/>
          <w:lang w:val="es-MX"/>
        </w:rPr>
      </w:pPr>
      <w:r w:rsidRPr="00201D7E">
        <w:rPr>
          <w:rFonts w:ascii="Arial" w:hAnsi="Arial" w:cs="Arial"/>
          <w:lang w:val="es-MX"/>
        </w:rPr>
        <w:t>UNASUR (2012b). Agenda de Acciones Sociales Prioritarias. Decisión UNASUR Nro. 28/2012.</w:t>
      </w:r>
    </w:p>
    <w:p w14:paraId="1FFB341D" w14:textId="0D4A0736" w:rsidR="00BC1EF8" w:rsidRPr="00201D7E" w:rsidRDefault="00BC1EF8" w:rsidP="00E064B5">
      <w:pPr>
        <w:spacing w:line="240" w:lineRule="auto"/>
        <w:ind w:left="709" w:hanging="709"/>
        <w:jc w:val="both"/>
        <w:rPr>
          <w:rFonts w:ascii="Arial" w:hAnsi="Arial" w:cs="Arial"/>
        </w:rPr>
      </w:pPr>
      <w:r w:rsidRPr="00201D7E">
        <w:rPr>
          <w:rFonts w:ascii="Arial" w:hAnsi="Arial" w:cs="Arial"/>
          <w:lang w:val="es-MX"/>
        </w:rPr>
        <w:t xml:space="preserve">UNASUR (2016). Metas Sociales Suramericanas: hoja de ruta para su formulación. Consejo Suramericano de Desarrollo Social. </w:t>
      </w:r>
    </w:p>
    <w:p w14:paraId="030B031F" w14:textId="77777777" w:rsidR="00BF5F4A" w:rsidRPr="00201D7E" w:rsidRDefault="00BF5F4A" w:rsidP="00F31673">
      <w:pPr>
        <w:spacing w:line="240" w:lineRule="auto"/>
        <w:ind w:left="709" w:hanging="709"/>
        <w:jc w:val="both"/>
        <w:rPr>
          <w:rFonts w:ascii="Arial" w:hAnsi="Arial" w:cs="Arial"/>
        </w:rPr>
      </w:pPr>
    </w:p>
    <w:p w14:paraId="588373C8" w14:textId="77777777" w:rsidR="00BC1EF8" w:rsidRPr="00E064B5" w:rsidRDefault="00BC1EF8" w:rsidP="00E064B5">
      <w:pPr>
        <w:spacing w:line="240" w:lineRule="auto"/>
        <w:ind w:left="709" w:hanging="709"/>
        <w:jc w:val="both"/>
        <w:rPr>
          <w:rFonts w:ascii="Arial" w:hAnsi="Arial" w:cs="Arial"/>
        </w:rPr>
      </w:pPr>
      <w:r w:rsidRPr="00E064B5">
        <w:rPr>
          <w:rFonts w:ascii="Arial" w:hAnsi="Arial" w:cs="Arial"/>
        </w:rPr>
        <w:t>Fuentes secundarias:</w:t>
      </w:r>
    </w:p>
    <w:p w14:paraId="4B438D76" w14:textId="1E3EB95B" w:rsidR="0021089F" w:rsidRDefault="0021089F">
      <w:pPr>
        <w:spacing w:line="240" w:lineRule="auto"/>
        <w:ind w:left="709" w:hanging="709"/>
        <w:jc w:val="both"/>
        <w:rPr>
          <w:rFonts w:ascii="Arial" w:hAnsi="Arial" w:cs="Arial"/>
        </w:rPr>
      </w:pPr>
      <w:r w:rsidRPr="0021089F">
        <w:rPr>
          <w:rFonts w:ascii="Arial" w:hAnsi="Arial" w:cs="Arial"/>
        </w:rPr>
        <w:t>Aguilar Villanueva, L</w:t>
      </w:r>
      <w:r>
        <w:rPr>
          <w:rFonts w:ascii="Arial" w:hAnsi="Arial" w:cs="Arial"/>
        </w:rPr>
        <w:t>. F</w:t>
      </w:r>
      <w:r w:rsidRPr="0021089F">
        <w:rPr>
          <w:rFonts w:ascii="Arial" w:hAnsi="Arial" w:cs="Arial"/>
        </w:rPr>
        <w:t>.</w:t>
      </w:r>
      <w:r>
        <w:rPr>
          <w:rFonts w:ascii="Arial" w:hAnsi="Arial" w:cs="Arial"/>
        </w:rPr>
        <w:t xml:space="preserve"> (2006)</w:t>
      </w:r>
      <w:r w:rsidR="00C83B59">
        <w:rPr>
          <w:rFonts w:ascii="Arial" w:hAnsi="Arial" w:cs="Arial"/>
        </w:rPr>
        <w:t>.</w:t>
      </w:r>
      <w:r w:rsidRPr="0021089F">
        <w:rPr>
          <w:rFonts w:ascii="Arial" w:hAnsi="Arial" w:cs="Arial"/>
        </w:rPr>
        <w:t xml:space="preserve"> </w:t>
      </w:r>
      <w:r w:rsidRPr="00E064B5">
        <w:rPr>
          <w:rFonts w:ascii="Arial" w:hAnsi="Arial" w:cs="Arial"/>
          <w:i/>
        </w:rPr>
        <w:t>Gobernanza y gestión pública</w:t>
      </w:r>
      <w:r w:rsidRPr="0021089F">
        <w:rPr>
          <w:rFonts w:ascii="Arial" w:hAnsi="Arial" w:cs="Arial"/>
        </w:rPr>
        <w:t>. México, Fondo de Cultura Económica (FCE).</w:t>
      </w:r>
    </w:p>
    <w:p w14:paraId="34D8E28C" w14:textId="2EECFE70" w:rsidR="00475B3E" w:rsidRDefault="00475B3E">
      <w:pPr>
        <w:spacing w:line="240" w:lineRule="auto"/>
        <w:ind w:left="709" w:hanging="709"/>
        <w:jc w:val="both"/>
        <w:rPr>
          <w:rFonts w:ascii="Arial" w:hAnsi="Arial" w:cs="Arial"/>
        </w:rPr>
      </w:pPr>
      <w:r w:rsidRPr="00475B3E">
        <w:rPr>
          <w:rFonts w:ascii="Arial" w:hAnsi="Arial" w:cs="Arial"/>
        </w:rPr>
        <w:t>Alonso, J. A. (2006)</w:t>
      </w:r>
      <w:r w:rsidR="00C83B59">
        <w:rPr>
          <w:rFonts w:ascii="Arial" w:hAnsi="Arial" w:cs="Arial"/>
        </w:rPr>
        <w:t>.</w:t>
      </w:r>
      <w:r w:rsidRPr="00475B3E">
        <w:rPr>
          <w:rFonts w:ascii="Arial" w:hAnsi="Arial" w:cs="Arial"/>
        </w:rPr>
        <w:t xml:space="preserve"> “América Lati</w:t>
      </w:r>
      <w:r w:rsidR="007803CB">
        <w:rPr>
          <w:rFonts w:ascii="Arial" w:hAnsi="Arial" w:cs="Arial"/>
        </w:rPr>
        <w:t>na: las trampas del progreso”. E</w:t>
      </w:r>
      <w:r w:rsidRPr="00475B3E">
        <w:rPr>
          <w:rFonts w:ascii="Arial" w:hAnsi="Arial" w:cs="Arial"/>
        </w:rPr>
        <w:t>n</w:t>
      </w:r>
      <w:r w:rsidR="007803CB">
        <w:rPr>
          <w:rFonts w:ascii="Arial" w:hAnsi="Arial" w:cs="Arial"/>
        </w:rPr>
        <w:t>:</w:t>
      </w:r>
      <w:r w:rsidRPr="00475B3E">
        <w:rPr>
          <w:rFonts w:ascii="Arial" w:hAnsi="Arial" w:cs="Arial"/>
        </w:rPr>
        <w:t xml:space="preserve"> Freres, C. y J. A. Sanahuja, (coords</w:t>
      </w:r>
      <w:r w:rsidR="007803CB">
        <w:rPr>
          <w:rFonts w:ascii="Arial" w:hAnsi="Arial" w:cs="Arial"/>
          <w:i/>
        </w:rPr>
        <w:t>.)</w:t>
      </w:r>
      <w:r w:rsidRPr="00E064B5">
        <w:rPr>
          <w:rFonts w:ascii="Arial" w:hAnsi="Arial" w:cs="Arial"/>
          <w:i/>
        </w:rPr>
        <w:t xml:space="preserve"> América Latina y la Unión Europea. Estrategias para una asociación necesaria</w:t>
      </w:r>
      <w:r w:rsidR="007803CB">
        <w:rPr>
          <w:rFonts w:ascii="Arial" w:hAnsi="Arial" w:cs="Arial"/>
          <w:i/>
        </w:rPr>
        <w:t xml:space="preserve">. </w:t>
      </w:r>
      <w:r w:rsidRPr="00475B3E">
        <w:rPr>
          <w:rFonts w:ascii="Arial" w:hAnsi="Arial" w:cs="Arial"/>
        </w:rPr>
        <w:t>Barcelona</w:t>
      </w:r>
      <w:r>
        <w:rPr>
          <w:rFonts w:ascii="Arial" w:hAnsi="Arial" w:cs="Arial"/>
        </w:rPr>
        <w:t>,</w:t>
      </w:r>
      <w:r w:rsidRPr="00475B3E">
        <w:rPr>
          <w:rFonts w:ascii="Arial" w:hAnsi="Arial" w:cs="Arial"/>
        </w:rPr>
        <w:t xml:space="preserve"> ICARIA.</w:t>
      </w:r>
    </w:p>
    <w:p w14:paraId="45FDB05A" w14:textId="4D1F6A11" w:rsidR="00BC1EF8" w:rsidRPr="003F5885" w:rsidRDefault="00BC1EF8" w:rsidP="00E064B5">
      <w:pPr>
        <w:spacing w:line="240" w:lineRule="auto"/>
        <w:ind w:left="709" w:hanging="709"/>
        <w:jc w:val="both"/>
        <w:rPr>
          <w:rFonts w:ascii="Arial" w:hAnsi="Arial" w:cs="Arial"/>
        </w:rPr>
      </w:pPr>
      <w:r w:rsidRPr="003F5885">
        <w:rPr>
          <w:rFonts w:ascii="Arial" w:hAnsi="Arial" w:cs="Arial"/>
        </w:rPr>
        <w:t>Bárcena, A. (2015)</w:t>
      </w:r>
      <w:r w:rsidR="007803CB">
        <w:rPr>
          <w:rFonts w:ascii="Arial" w:hAnsi="Arial" w:cs="Arial"/>
        </w:rPr>
        <w:t>.</w:t>
      </w:r>
      <w:r w:rsidRPr="003F5885">
        <w:rPr>
          <w:rFonts w:ascii="Arial" w:hAnsi="Arial" w:cs="Arial"/>
        </w:rPr>
        <w:t xml:space="preserve"> </w:t>
      </w:r>
      <w:r w:rsidR="007803CB">
        <w:rPr>
          <w:rFonts w:ascii="Arial" w:hAnsi="Arial" w:cs="Arial"/>
        </w:rPr>
        <w:t>“</w:t>
      </w:r>
      <w:r w:rsidRPr="003F5885">
        <w:rPr>
          <w:rFonts w:ascii="Arial" w:hAnsi="Arial" w:cs="Arial"/>
        </w:rPr>
        <w:t>La descolonización de la agenda para el desarrollo después de 2015: hacia una asociación universal para el desarrollo</w:t>
      </w:r>
      <w:r w:rsidR="007803CB">
        <w:rPr>
          <w:rFonts w:ascii="Arial" w:hAnsi="Arial" w:cs="Arial"/>
        </w:rPr>
        <w:t>”</w:t>
      </w:r>
      <w:r w:rsidRPr="003F5885">
        <w:rPr>
          <w:rFonts w:ascii="Arial" w:hAnsi="Arial" w:cs="Arial"/>
        </w:rPr>
        <w:t xml:space="preserve">. En: Ocampo (Edit.) </w:t>
      </w:r>
      <w:r w:rsidRPr="007803CB">
        <w:rPr>
          <w:rFonts w:ascii="Arial" w:hAnsi="Arial" w:cs="Arial"/>
          <w:i/>
        </w:rPr>
        <w:t>Gobernanza global y desarrollo. Nuevos desafíos y prioridades de la cooperación internacional</w:t>
      </w:r>
      <w:r w:rsidRPr="003F5885">
        <w:rPr>
          <w:rFonts w:ascii="Arial" w:hAnsi="Arial" w:cs="Arial"/>
        </w:rPr>
        <w:t xml:space="preserve">. </w:t>
      </w:r>
      <w:r w:rsidR="007803CB">
        <w:rPr>
          <w:rFonts w:ascii="Arial" w:hAnsi="Arial" w:cs="Arial"/>
        </w:rPr>
        <w:t>Santiago de Chile</w:t>
      </w:r>
      <w:r w:rsidR="00475B3E">
        <w:rPr>
          <w:rFonts w:ascii="Arial" w:hAnsi="Arial" w:cs="Arial"/>
        </w:rPr>
        <w:t>,</w:t>
      </w:r>
      <w:r w:rsidRPr="003F5885">
        <w:rPr>
          <w:rFonts w:ascii="Arial" w:hAnsi="Arial" w:cs="Arial"/>
        </w:rPr>
        <w:t xml:space="preserve"> Siglo XXI Editores. </w:t>
      </w:r>
    </w:p>
    <w:p w14:paraId="30633E5E" w14:textId="4F423288" w:rsidR="00BC1EF8" w:rsidRPr="008D3413" w:rsidRDefault="00BC1EF8" w:rsidP="00E064B5">
      <w:pPr>
        <w:spacing w:line="240" w:lineRule="auto"/>
        <w:ind w:left="709" w:hanging="709"/>
        <w:jc w:val="both"/>
        <w:rPr>
          <w:rFonts w:ascii="Arial" w:hAnsi="Arial" w:cs="Arial"/>
          <w:lang w:val="es-419"/>
        </w:rPr>
      </w:pPr>
      <w:r w:rsidRPr="00614D6A">
        <w:rPr>
          <w:rFonts w:ascii="Arial" w:hAnsi="Arial" w:cs="Arial"/>
          <w:lang w:val="es-PY"/>
        </w:rPr>
        <w:t>Caetano, G</w:t>
      </w:r>
      <w:r w:rsidR="007803CB" w:rsidRPr="00614D6A">
        <w:rPr>
          <w:rFonts w:ascii="Arial" w:hAnsi="Arial" w:cs="Arial"/>
          <w:lang w:val="es-PY"/>
        </w:rPr>
        <w:t>.</w:t>
      </w:r>
      <w:r w:rsidRPr="00614D6A">
        <w:rPr>
          <w:rFonts w:ascii="Arial" w:hAnsi="Arial" w:cs="Arial"/>
          <w:lang w:val="es-PY"/>
        </w:rPr>
        <w:t xml:space="preserve"> (Coord.) (2011)</w:t>
      </w:r>
      <w:r w:rsidR="007803CB" w:rsidRPr="00614D6A">
        <w:rPr>
          <w:rFonts w:ascii="Arial" w:hAnsi="Arial" w:cs="Arial"/>
          <w:lang w:val="es-PY"/>
        </w:rPr>
        <w:t>.</w:t>
      </w:r>
      <w:r w:rsidRPr="00614D6A">
        <w:rPr>
          <w:rFonts w:ascii="Arial" w:hAnsi="Arial" w:cs="Arial"/>
          <w:lang w:val="es-PY"/>
        </w:rPr>
        <w:t xml:space="preserve"> </w:t>
      </w:r>
      <w:r w:rsidR="001526EB" w:rsidRPr="00885BF4">
        <w:rPr>
          <w:rFonts w:ascii="Arial" w:hAnsi="Arial" w:cs="Arial"/>
          <w:i/>
          <w:lang w:val="es-PY"/>
        </w:rPr>
        <w:t>MERCOSUR</w:t>
      </w:r>
      <w:r w:rsidRPr="00885BF4">
        <w:rPr>
          <w:rFonts w:ascii="Arial" w:hAnsi="Arial" w:cs="Arial"/>
          <w:i/>
          <w:lang w:val="es-PY"/>
        </w:rPr>
        <w:t xml:space="preserve"> 20 años</w:t>
      </w:r>
      <w:r w:rsidRPr="00885BF4">
        <w:rPr>
          <w:rFonts w:ascii="Arial" w:hAnsi="Arial" w:cs="Arial"/>
          <w:lang w:val="es-PY"/>
        </w:rPr>
        <w:t xml:space="preserve">. </w:t>
      </w:r>
      <w:r w:rsidR="00324FC5" w:rsidRPr="008D3413">
        <w:rPr>
          <w:rFonts w:ascii="Arial" w:hAnsi="Arial" w:cs="Arial"/>
          <w:lang w:val="es-419"/>
        </w:rPr>
        <w:t xml:space="preserve">Montevideo, </w:t>
      </w:r>
      <w:r w:rsidRPr="008D3413">
        <w:rPr>
          <w:rFonts w:ascii="Arial" w:hAnsi="Arial" w:cs="Arial"/>
          <w:lang w:val="es-419"/>
        </w:rPr>
        <w:t xml:space="preserve">CEFIR. </w:t>
      </w:r>
    </w:p>
    <w:p w14:paraId="36EAA1CE" w14:textId="6E8A92B7" w:rsidR="007803CB" w:rsidRPr="00E064B5" w:rsidRDefault="007803CB" w:rsidP="007803CB">
      <w:pPr>
        <w:autoSpaceDE w:val="0"/>
        <w:autoSpaceDN w:val="0"/>
        <w:adjustRightInd w:val="0"/>
        <w:spacing w:line="240" w:lineRule="auto"/>
        <w:ind w:left="709" w:hanging="709"/>
        <w:jc w:val="both"/>
        <w:rPr>
          <w:rFonts w:ascii="Arial" w:hAnsi="Arial" w:cs="Arial"/>
          <w:lang w:val="es-PY"/>
        </w:rPr>
      </w:pPr>
      <w:r>
        <w:rPr>
          <w:rFonts w:ascii="Arial" w:hAnsi="Arial" w:cs="Arial"/>
        </w:rPr>
        <w:lastRenderedPageBreak/>
        <w:t>Comisión Económica para América Latina y el Caribe (</w:t>
      </w:r>
      <w:r w:rsidR="00BC1EF8" w:rsidRPr="00BC1EF8">
        <w:rPr>
          <w:rFonts w:ascii="Arial" w:hAnsi="Arial" w:cs="Arial"/>
        </w:rPr>
        <w:t>CEPAL</w:t>
      </w:r>
      <w:r>
        <w:rPr>
          <w:rFonts w:ascii="Arial" w:hAnsi="Arial" w:cs="Arial"/>
        </w:rPr>
        <w:t>)</w:t>
      </w:r>
      <w:r w:rsidR="00BC1EF8" w:rsidRPr="00BC1EF8">
        <w:rPr>
          <w:rFonts w:ascii="Arial" w:hAnsi="Arial" w:cs="Arial"/>
        </w:rPr>
        <w:t xml:space="preserve"> (2002)</w:t>
      </w:r>
      <w:r>
        <w:rPr>
          <w:rFonts w:ascii="Arial" w:hAnsi="Arial" w:cs="Arial"/>
        </w:rPr>
        <w:t>.</w:t>
      </w:r>
      <w:r w:rsidR="00BC1EF8" w:rsidRPr="00BC1EF8">
        <w:rPr>
          <w:rFonts w:ascii="Arial" w:hAnsi="Arial" w:cs="Arial"/>
        </w:rPr>
        <w:t xml:space="preserve"> </w:t>
      </w:r>
      <w:r w:rsidR="00BC1EF8" w:rsidRPr="007803CB">
        <w:rPr>
          <w:rFonts w:ascii="Arial" w:hAnsi="Arial" w:cs="Arial"/>
          <w:i/>
        </w:rPr>
        <w:t>Globalización y Desarrollo.</w:t>
      </w:r>
      <w:r w:rsidR="00BC1EF8" w:rsidRPr="00BC1EF8">
        <w:rPr>
          <w:rFonts w:ascii="Arial" w:hAnsi="Arial" w:cs="Arial"/>
        </w:rPr>
        <w:t xml:space="preserve"> 29 </w:t>
      </w:r>
      <w:r>
        <w:rPr>
          <w:rFonts w:ascii="Arial" w:hAnsi="Arial" w:cs="Arial"/>
        </w:rPr>
        <w:t xml:space="preserve">período de sesiones, Brasilia, </w:t>
      </w:r>
      <w:r w:rsidRPr="00C10186">
        <w:rPr>
          <w:rFonts w:ascii="Arial" w:hAnsi="Arial" w:cs="Arial"/>
          <w:lang w:val="es-MX"/>
        </w:rPr>
        <w:t>Comisión Económica para América</w:t>
      </w:r>
      <w:r>
        <w:rPr>
          <w:rFonts w:ascii="Arial" w:hAnsi="Arial" w:cs="Arial"/>
          <w:lang w:val="es-MX"/>
        </w:rPr>
        <w:t xml:space="preserve"> </w:t>
      </w:r>
      <w:r w:rsidRPr="00C10186">
        <w:rPr>
          <w:rFonts w:ascii="Arial" w:hAnsi="Arial" w:cs="Arial"/>
          <w:lang w:val="es-MX"/>
        </w:rPr>
        <w:t>Latina y el Caribe (CEPAL).</w:t>
      </w:r>
    </w:p>
    <w:p w14:paraId="7815FD5B" w14:textId="7C07AAC3" w:rsidR="00BC1EF8" w:rsidRPr="007803CB" w:rsidRDefault="007803CB" w:rsidP="007803CB">
      <w:pPr>
        <w:autoSpaceDE w:val="0"/>
        <w:autoSpaceDN w:val="0"/>
        <w:adjustRightInd w:val="0"/>
        <w:spacing w:line="240" w:lineRule="auto"/>
        <w:ind w:left="709" w:hanging="709"/>
        <w:jc w:val="both"/>
        <w:rPr>
          <w:rFonts w:ascii="Arial" w:hAnsi="Arial" w:cs="Arial"/>
          <w:lang w:val="es-PY"/>
        </w:rPr>
      </w:pPr>
      <w:r>
        <w:rPr>
          <w:rFonts w:ascii="Arial" w:hAnsi="Arial" w:cs="Arial"/>
        </w:rPr>
        <w:t>Comisión Económica para América Latina y el Caribe (</w:t>
      </w:r>
      <w:r w:rsidRPr="00BC1EF8">
        <w:rPr>
          <w:rFonts w:ascii="Arial" w:hAnsi="Arial" w:cs="Arial"/>
        </w:rPr>
        <w:t>CEPAL</w:t>
      </w:r>
      <w:r>
        <w:rPr>
          <w:rFonts w:ascii="Arial" w:hAnsi="Arial" w:cs="Arial"/>
        </w:rPr>
        <w:t>)</w:t>
      </w:r>
      <w:r w:rsidRPr="00BC1EF8">
        <w:rPr>
          <w:rFonts w:ascii="Arial" w:hAnsi="Arial" w:cs="Arial"/>
        </w:rPr>
        <w:t xml:space="preserve"> </w:t>
      </w:r>
      <w:r w:rsidR="00BC1EF8" w:rsidRPr="00BC1EF8">
        <w:rPr>
          <w:rFonts w:ascii="Arial" w:hAnsi="Arial" w:cs="Arial"/>
        </w:rPr>
        <w:t>(2018)</w:t>
      </w:r>
      <w:r>
        <w:rPr>
          <w:rFonts w:ascii="Arial" w:hAnsi="Arial" w:cs="Arial"/>
        </w:rPr>
        <w:t>.</w:t>
      </w:r>
      <w:r w:rsidR="00BC1EF8" w:rsidRPr="00BC1EF8">
        <w:rPr>
          <w:rFonts w:ascii="Arial" w:hAnsi="Arial" w:cs="Arial"/>
        </w:rPr>
        <w:t xml:space="preserve"> </w:t>
      </w:r>
      <w:r w:rsidR="00BC1EF8" w:rsidRPr="007803CB">
        <w:rPr>
          <w:rFonts w:ascii="Arial" w:hAnsi="Arial" w:cs="Arial"/>
          <w:i/>
        </w:rPr>
        <w:t>Nuevos desafíos y paradigmas. Perspectivas sobre la cooperación internacional para el desarrollo en transición</w:t>
      </w:r>
      <w:r>
        <w:rPr>
          <w:rFonts w:ascii="Arial" w:hAnsi="Arial" w:cs="Arial"/>
        </w:rPr>
        <w:t xml:space="preserve">. </w:t>
      </w:r>
      <w:r w:rsidRPr="00C10186">
        <w:rPr>
          <w:rFonts w:ascii="Arial" w:hAnsi="Arial" w:cs="Arial"/>
          <w:lang w:val="es-MX"/>
        </w:rPr>
        <w:t>Santiago de Chile, Comisión Económica para América</w:t>
      </w:r>
      <w:r>
        <w:rPr>
          <w:rFonts w:ascii="Arial" w:hAnsi="Arial" w:cs="Arial"/>
          <w:lang w:val="es-MX"/>
        </w:rPr>
        <w:t xml:space="preserve"> </w:t>
      </w:r>
      <w:r w:rsidRPr="00C10186">
        <w:rPr>
          <w:rFonts w:ascii="Arial" w:hAnsi="Arial" w:cs="Arial"/>
          <w:lang w:val="es-MX"/>
        </w:rPr>
        <w:t>Latina y el Caribe (CEPAL).</w:t>
      </w:r>
    </w:p>
    <w:p w14:paraId="317F1A14" w14:textId="35BFE00B" w:rsidR="00B5561E" w:rsidRPr="00E064B5" w:rsidRDefault="00B5561E" w:rsidP="00B5561E">
      <w:pPr>
        <w:spacing w:line="240" w:lineRule="auto"/>
        <w:ind w:left="709" w:hanging="709"/>
        <w:jc w:val="both"/>
        <w:rPr>
          <w:rFonts w:ascii="Arial" w:hAnsi="Arial" w:cs="Arial"/>
          <w:lang w:val="en-US"/>
        </w:rPr>
      </w:pPr>
      <w:r w:rsidRPr="00E064B5">
        <w:rPr>
          <w:rFonts w:ascii="Arial" w:hAnsi="Arial" w:cs="Arial"/>
          <w:lang w:val="en-US"/>
        </w:rPr>
        <w:t>Dearden, S</w:t>
      </w:r>
      <w:r>
        <w:rPr>
          <w:rFonts w:ascii="Arial" w:hAnsi="Arial" w:cs="Arial"/>
          <w:lang w:val="en-US"/>
        </w:rPr>
        <w:t>.</w:t>
      </w:r>
      <w:r w:rsidRPr="00E064B5">
        <w:rPr>
          <w:rFonts w:ascii="Arial" w:hAnsi="Arial" w:cs="Arial"/>
          <w:lang w:val="en-US"/>
        </w:rPr>
        <w:t xml:space="preserve"> (2008)</w:t>
      </w:r>
      <w:r>
        <w:rPr>
          <w:rFonts w:ascii="Arial" w:hAnsi="Arial" w:cs="Arial"/>
          <w:lang w:val="en-US"/>
        </w:rPr>
        <w:t>.</w:t>
      </w:r>
      <w:r w:rsidRPr="00E064B5">
        <w:rPr>
          <w:rFonts w:ascii="Arial" w:hAnsi="Arial" w:cs="Arial"/>
          <w:lang w:val="en-US"/>
        </w:rPr>
        <w:t xml:space="preserve"> “Policy arena. Introduction: European Union development aid policy – the challenge of implementation”, </w:t>
      </w:r>
      <w:r w:rsidRPr="00E064B5">
        <w:rPr>
          <w:rFonts w:ascii="Arial" w:hAnsi="Arial" w:cs="Arial"/>
          <w:i/>
          <w:lang w:val="en-US"/>
        </w:rPr>
        <w:t>Journal of International Development,</w:t>
      </w:r>
      <w:r w:rsidRPr="00E064B5">
        <w:rPr>
          <w:rFonts w:ascii="Arial" w:hAnsi="Arial" w:cs="Arial"/>
          <w:lang w:val="en-US"/>
        </w:rPr>
        <w:t xml:space="preserve"> Vol. 20, N° 2.</w:t>
      </w:r>
    </w:p>
    <w:p w14:paraId="482DA13A" w14:textId="5A226B31" w:rsidR="00C747CF" w:rsidRDefault="00C747CF">
      <w:pPr>
        <w:spacing w:line="240" w:lineRule="auto"/>
        <w:ind w:left="709" w:hanging="709"/>
        <w:jc w:val="both"/>
        <w:rPr>
          <w:rFonts w:ascii="Arial" w:hAnsi="Arial" w:cs="Arial"/>
          <w:lang w:val="es-MX"/>
        </w:rPr>
      </w:pPr>
      <w:r w:rsidRPr="00C747CF">
        <w:rPr>
          <w:rFonts w:ascii="Arial" w:hAnsi="Arial" w:cs="Arial"/>
          <w:lang w:val="es-MX"/>
        </w:rPr>
        <w:t xml:space="preserve">Facultad Latinoamericana de Ciencias Sociales (FLACSO) (2015), </w:t>
      </w:r>
      <w:r w:rsidRPr="007803CB">
        <w:rPr>
          <w:rFonts w:ascii="Arial" w:hAnsi="Arial" w:cs="Arial"/>
          <w:i/>
          <w:lang w:val="es-MX"/>
        </w:rPr>
        <w:t>Informe Técnico para el Diseño de Plan de Trabajo para reorientación de Programas de Salud Públi</w:t>
      </w:r>
      <w:r w:rsidRPr="00C747CF">
        <w:rPr>
          <w:rFonts w:ascii="Arial" w:hAnsi="Arial" w:cs="Arial"/>
          <w:lang w:val="es-MX"/>
        </w:rPr>
        <w:t>ca. Santiago de Chile, FLACSO.</w:t>
      </w:r>
    </w:p>
    <w:p w14:paraId="7EA57E2C" w14:textId="42B22B22" w:rsidR="00BC1EF8" w:rsidRPr="00BC1EF8" w:rsidRDefault="00BC1EF8" w:rsidP="00E064B5">
      <w:pPr>
        <w:spacing w:line="240" w:lineRule="auto"/>
        <w:ind w:left="709" w:hanging="709"/>
        <w:jc w:val="both"/>
        <w:rPr>
          <w:rFonts w:ascii="Arial" w:hAnsi="Arial" w:cs="Arial"/>
          <w:lang w:val="es-MX"/>
        </w:rPr>
      </w:pPr>
      <w:r w:rsidRPr="00BC1EF8">
        <w:rPr>
          <w:rFonts w:ascii="Arial" w:hAnsi="Arial" w:cs="Arial"/>
          <w:lang w:val="es-MX"/>
        </w:rPr>
        <w:t xml:space="preserve">Inge Kaul y Donald Blondin (2015) Los bienes públicos globales y las Naciones Unidas. </w:t>
      </w:r>
    </w:p>
    <w:p w14:paraId="2DE65067" w14:textId="72060703" w:rsidR="00BC1EF8" w:rsidRPr="004859EC" w:rsidRDefault="00BC1EF8" w:rsidP="00E064B5">
      <w:pPr>
        <w:spacing w:line="240" w:lineRule="auto"/>
        <w:ind w:left="709" w:hanging="709"/>
        <w:jc w:val="both"/>
        <w:rPr>
          <w:rFonts w:ascii="Arial" w:hAnsi="Arial" w:cs="Arial"/>
          <w:lang w:val="es-PY"/>
        </w:rPr>
      </w:pPr>
      <w:r w:rsidRPr="003F5885">
        <w:rPr>
          <w:rFonts w:ascii="Arial" w:hAnsi="Arial" w:cs="Arial"/>
        </w:rPr>
        <w:t xml:space="preserve">Jenks, B. (2015) Cooperación para el desarrollo de las Naciones Unidas: las raíces de una agenda de reforma. En: Ocampo (Edit.) </w:t>
      </w:r>
      <w:r w:rsidRPr="007803CB">
        <w:rPr>
          <w:rFonts w:ascii="Arial" w:hAnsi="Arial" w:cs="Arial"/>
          <w:i/>
        </w:rPr>
        <w:t xml:space="preserve">Gobernanza global y desarrollo. Nuevos desafíos y prioridades de la cooperación internacional. </w:t>
      </w:r>
      <w:r w:rsidR="007803CB" w:rsidRPr="004859EC">
        <w:rPr>
          <w:rFonts w:ascii="Arial" w:hAnsi="Arial" w:cs="Arial"/>
          <w:lang w:val="es-PY"/>
        </w:rPr>
        <w:t>Santiago de Chile,</w:t>
      </w:r>
      <w:r w:rsidRPr="004859EC">
        <w:rPr>
          <w:rFonts w:ascii="Arial" w:hAnsi="Arial" w:cs="Arial"/>
          <w:lang w:val="es-PY"/>
        </w:rPr>
        <w:t xml:space="preserve"> Siglo XXI Editores. </w:t>
      </w:r>
    </w:p>
    <w:p w14:paraId="23AA1AB6" w14:textId="60D74C76" w:rsidR="00C747CF" w:rsidRPr="00885BF4" w:rsidRDefault="00C747CF">
      <w:pPr>
        <w:spacing w:line="240" w:lineRule="auto"/>
        <w:ind w:left="709" w:hanging="709"/>
        <w:jc w:val="both"/>
        <w:rPr>
          <w:rFonts w:ascii="Arial" w:hAnsi="Arial" w:cs="Arial"/>
          <w:lang w:val="es-PY"/>
        </w:rPr>
      </w:pPr>
      <w:r w:rsidRPr="004859EC">
        <w:rPr>
          <w:rFonts w:ascii="Arial" w:hAnsi="Arial" w:cs="Arial"/>
          <w:lang w:val="es-PY"/>
        </w:rPr>
        <w:t>Luttrell, Cecilia, Lasse Loft, Maria Fernanda G</w:t>
      </w:r>
      <w:r w:rsidR="007803CB" w:rsidRPr="004859EC">
        <w:rPr>
          <w:rFonts w:ascii="Arial" w:hAnsi="Arial" w:cs="Arial"/>
          <w:lang w:val="es-PY"/>
        </w:rPr>
        <w:t>ebara y Demetrius Kwerka (2012).</w:t>
      </w:r>
      <w:r w:rsidRPr="004859EC">
        <w:rPr>
          <w:rFonts w:ascii="Arial" w:hAnsi="Arial" w:cs="Arial"/>
          <w:lang w:val="es-PY"/>
        </w:rPr>
        <w:t xml:space="preserve"> </w:t>
      </w:r>
      <w:r w:rsidRPr="00885BF4">
        <w:rPr>
          <w:rFonts w:ascii="Arial" w:hAnsi="Arial" w:cs="Arial"/>
          <w:lang w:val="en-US"/>
        </w:rPr>
        <w:t xml:space="preserve">“Who should benefit and why? </w:t>
      </w:r>
      <w:r w:rsidRPr="00E064B5">
        <w:rPr>
          <w:rFonts w:ascii="Arial" w:hAnsi="Arial" w:cs="Arial"/>
          <w:lang w:val="en-US"/>
        </w:rPr>
        <w:t xml:space="preserve">Discourses on REDD+ benefit sharing”, Arild Angelsen y otros (eds.), </w:t>
      </w:r>
      <w:r w:rsidRPr="007803CB">
        <w:rPr>
          <w:rFonts w:ascii="Arial" w:hAnsi="Arial" w:cs="Arial"/>
          <w:i/>
          <w:lang w:val="en-US"/>
        </w:rPr>
        <w:t>Analysing REDD+ Challenges and choices</w:t>
      </w:r>
      <w:r w:rsidR="007803CB">
        <w:rPr>
          <w:rFonts w:ascii="Arial" w:hAnsi="Arial" w:cs="Arial"/>
          <w:lang w:val="en-US"/>
        </w:rPr>
        <w:t>.</w:t>
      </w:r>
      <w:r w:rsidRPr="00E064B5">
        <w:rPr>
          <w:rFonts w:ascii="Arial" w:hAnsi="Arial" w:cs="Arial"/>
          <w:lang w:val="en-US"/>
        </w:rPr>
        <w:t xml:space="preserve"> </w:t>
      </w:r>
      <w:r w:rsidRPr="00885BF4">
        <w:rPr>
          <w:rFonts w:ascii="Arial" w:hAnsi="Arial" w:cs="Arial"/>
          <w:lang w:val="es-PY"/>
        </w:rPr>
        <w:t>Yakarta, CIFOR.</w:t>
      </w:r>
    </w:p>
    <w:p w14:paraId="77A740FA" w14:textId="3F8C4F13" w:rsidR="00BC1EF8" w:rsidRPr="007803CB" w:rsidRDefault="00BC1EF8" w:rsidP="007803CB">
      <w:pPr>
        <w:autoSpaceDE w:val="0"/>
        <w:autoSpaceDN w:val="0"/>
        <w:adjustRightInd w:val="0"/>
        <w:spacing w:line="240" w:lineRule="auto"/>
        <w:ind w:left="709" w:hanging="709"/>
        <w:jc w:val="both"/>
        <w:rPr>
          <w:rFonts w:ascii="Arial" w:hAnsi="Arial" w:cs="Arial"/>
          <w:lang w:val="es-PY"/>
        </w:rPr>
      </w:pPr>
      <w:r w:rsidRPr="00BC1EF8">
        <w:rPr>
          <w:rFonts w:ascii="Arial" w:hAnsi="Arial" w:cs="Arial"/>
          <w:lang w:val="es-MX"/>
        </w:rPr>
        <w:t>Maldonado Valera Carlos F. (2015)</w:t>
      </w:r>
      <w:r w:rsidR="007803CB">
        <w:rPr>
          <w:rFonts w:ascii="Arial" w:hAnsi="Arial" w:cs="Arial"/>
          <w:lang w:val="es-MX"/>
        </w:rPr>
        <w:t>.</w:t>
      </w:r>
      <w:r w:rsidRPr="00BC1EF8">
        <w:rPr>
          <w:rFonts w:ascii="Arial" w:hAnsi="Arial" w:cs="Arial"/>
          <w:lang w:val="es-MX"/>
        </w:rPr>
        <w:t xml:space="preserve"> </w:t>
      </w:r>
      <w:r w:rsidR="007803CB">
        <w:rPr>
          <w:rFonts w:ascii="Arial" w:hAnsi="Arial" w:cs="Arial"/>
          <w:lang w:val="es-MX"/>
        </w:rPr>
        <w:t>“</w:t>
      </w:r>
      <w:r w:rsidRPr="00BC1EF8">
        <w:rPr>
          <w:rFonts w:ascii="Arial" w:hAnsi="Arial" w:cs="Arial"/>
          <w:lang w:val="es-MX"/>
        </w:rPr>
        <w:t>La construcción de pactos sociales para la protección social</w:t>
      </w:r>
      <w:r w:rsidR="007803CB">
        <w:rPr>
          <w:rFonts w:ascii="Arial" w:hAnsi="Arial" w:cs="Arial"/>
          <w:lang w:val="es-MX"/>
        </w:rPr>
        <w:t>”</w:t>
      </w:r>
      <w:r w:rsidRPr="003F5885">
        <w:rPr>
          <w:rFonts w:ascii="Arial" w:hAnsi="Arial" w:cs="Arial"/>
          <w:lang w:val="es-MX"/>
        </w:rPr>
        <w:t xml:space="preserve">. </w:t>
      </w:r>
      <w:r w:rsidRPr="003F5885">
        <w:rPr>
          <w:rFonts w:ascii="Arial" w:hAnsi="Arial" w:cs="Arial"/>
        </w:rPr>
        <w:t>En: Cecchini, S. et al (</w:t>
      </w:r>
      <w:r w:rsidRPr="003F5885">
        <w:rPr>
          <w:rFonts w:ascii="Arial" w:hAnsi="Arial" w:cs="Arial"/>
          <w:lang w:val="es-MX"/>
        </w:rPr>
        <w:t xml:space="preserve">Edit.) </w:t>
      </w:r>
      <w:r w:rsidRPr="007803CB">
        <w:rPr>
          <w:rFonts w:ascii="Arial" w:hAnsi="Arial" w:cs="Arial"/>
          <w:i/>
          <w:lang w:val="es-MX"/>
        </w:rPr>
        <w:t>Instrumentos de protección social. Caminos latinoamericanos hacia la universalización</w:t>
      </w:r>
      <w:r w:rsidRPr="003F5885">
        <w:rPr>
          <w:rFonts w:ascii="Arial" w:hAnsi="Arial" w:cs="Arial"/>
          <w:lang w:val="es-MX"/>
        </w:rPr>
        <w:t xml:space="preserve">. </w:t>
      </w:r>
      <w:r w:rsidR="007803CB" w:rsidRPr="00C10186">
        <w:rPr>
          <w:rFonts w:ascii="Arial" w:hAnsi="Arial" w:cs="Arial"/>
          <w:lang w:val="es-MX"/>
        </w:rPr>
        <w:t>Santiago de Chile, Comisión Económica para América</w:t>
      </w:r>
      <w:r w:rsidR="007803CB">
        <w:rPr>
          <w:rFonts w:ascii="Arial" w:hAnsi="Arial" w:cs="Arial"/>
          <w:lang w:val="es-MX"/>
        </w:rPr>
        <w:t xml:space="preserve"> </w:t>
      </w:r>
      <w:r w:rsidR="007803CB" w:rsidRPr="00C10186">
        <w:rPr>
          <w:rFonts w:ascii="Arial" w:hAnsi="Arial" w:cs="Arial"/>
          <w:lang w:val="es-MX"/>
        </w:rPr>
        <w:t>Latina y el Caribe (CEPAL).</w:t>
      </w:r>
    </w:p>
    <w:p w14:paraId="2F13EF3A" w14:textId="77777777" w:rsidR="007803CB" w:rsidRPr="00E064B5" w:rsidRDefault="00BC1EF8" w:rsidP="007803CB">
      <w:pPr>
        <w:autoSpaceDE w:val="0"/>
        <w:autoSpaceDN w:val="0"/>
        <w:adjustRightInd w:val="0"/>
        <w:spacing w:line="240" w:lineRule="auto"/>
        <w:ind w:left="709" w:hanging="709"/>
        <w:jc w:val="both"/>
        <w:rPr>
          <w:rFonts w:ascii="Arial" w:hAnsi="Arial" w:cs="Arial"/>
          <w:lang w:val="es-PY"/>
        </w:rPr>
      </w:pPr>
      <w:r w:rsidRPr="00BC1EF8">
        <w:rPr>
          <w:rFonts w:ascii="Arial" w:hAnsi="Arial" w:cs="Arial"/>
          <w:lang w:val="es-MX"/>
        </w:rPr>
        <w:t>Nuria Cunill-Grau, Fabián Repetto, Carla Bronzo (2015)</w:t>
      </w:r>
      <w:r w:rsidR="007803CB">
        <w:rPr>
          <w:rFonts w:ascii="Arial" w:hAnsi="Arial" w:cs="Arial"/>
          <w:lang w:val="es-MX"/>
        </w:rPr>
        <w:t>.</w:t>
      </w:r>
      <w:r w:rsidRPr="00BC1EF8">
        <w:rPr>
          <w:rFonts w:ascii="Arial" w:hAnsi="Arial" w:cs="Arial"/>
          <w:lang w:val="es-MX"/>
        </w:rPr>
        <w:t xml:space="preserve"> </w:t>
      </w:r>
      <w:r w:rsidR="007803CB">
        <w:rPr>
          <w:rFonts w:ascii="Arial" w:hAnsi="Arial" w:cs="Arial"/>
          <w:lang w:val="es-MX"/>
        </w:rPr>
        <w:t>“</w:t>
      </w:r>
      <w:r w:rsidRPr="00BC1EF8">
        <w:rPr>
          <w:rFonts w:ascii="Arial" w:hAnsi="Arial" w:cs="Arial"/>
          <w:lang w:val="es-MX"/>
        </w:rPr>
        <w:t>Coordinación intersectorial pro integralidad de las instituciones de protección social</w:t>
      </w:r>
      <w:r w:rsidR="007803CB">
        <w:rPr>
          <w:rFonts w:ascii="Arial" w:hAnsi="Arial" w:cs="Arial"/>
          <w:lang w:val="es-MX"/>
        </w:rPr>
        <w:t>”</w:t>
      </w:r>
      <w:r w:rsidRPr="00ED4084">
        <w:rPr>
          <w:rFonts w:ascii="Arial" w:hAnsi="Arial" w:cs="Arial"/>
          <w:lang w:val="es-MX"/>
        </w:rPr>
        <w:t xml:space="preserve">. </w:t>
      </w:r>
      <w:r w:rsidRPr="00ED4084">
        <w:rPr>
          <w:rFonts w:ascii="Arial" w:hAnsi="Arial" w:cs="Arial"/>
        </w:rPr>
        <w:t>En: Cecchini, S. et al (</w:t>
      </w:r>
      <w:r w:rsidRPr="00ED4084">
        <w:rPr>
          <w:rFonts w:ascii="Arial" w:hAnsi="Arial" w:cs="Arial"/>
          <w:lang w:val="es-MX"/>
        </w:rPr>
        <w:t xml:space="preserve">Edit.) </w:t>
      </w:r>
      <w:r w:rsidRPr="007803CB">
        <w:rPr>
          <w:rFonts w:ascii="Arial" w:hAnsi="Arial" w:cs="Arial"/>
          <w:i/>
          <w:lang w:val="es-MX"/>
        </w:rPr>
        <w:t>Instrumentos de protección social. Caminos latinoamericanos hacia la universalización.</w:t>
      </w:r>
      <w:r w:rsidRPr="00ED4084">
        <w:rPr>
          <w:rFonts w:ascii="Arial" w:hAnsi="Arial" w:cs="Arial"/>
          <w:lang w:val="es-MX"/>
        </w:rPr>
        <w:t xml:space="preserve"> </w:t>
      </w:r>
      <w:r w:rsidR="007803CB" w:rsidRPr="00C10186">
        <w:rPr>
          <w:rFonts w:ascii="Arial" w:hAnsi="Arial" w:cs="Arial"/>
          <w:lang w:val="es-MX"/>
        </w:rPr>
        <w:t>Santiago de Chile, Comisión Económica para América</w:t>
      </w:r>
      <w:r w:rsidR="007803CB">
        <w:rPr>
          <w:rFonts w:ascii="Arial" w:hAnsi="Arial" w:cs="Arial"/>
          <w:lang w:val="es-MX"/>
        </w:rPr>
        <w:t xml:space="preserve"> </w:t>
      </w:r>
      <w:r w:rsidR="007803CB" w:rsidRPr="00C10186">
        <w:rPr>
          <w:rFonts w:ascii="Arial" w:hAnsi="Arial" w:cs="Arial"/>
          <w:lang w:val="es-MX"/>
        </w:rPr>
        <w:t>Latina y el Caribe (CEPAL).</w:t>
      </w:r>
    </w:p>
    <w:p w14:paraId="263F5745" w14:textId="4B167E46" w:rsidR="00BC1EF8" w:rsidRPr="003F5885" w:rsidRDefault="00BC1EF8" w:rsidP="00E064B5">
      <w:pPr>
        <w:spacing w:line="240" w:lineRule="auto"/>
        <w:ind w:left="709" w:hanging="709"/>
        <w:jc w:val="both"/>
        <w:rPr>
          <w:rFonts w:ascii="Arial" w:hAnsi="Arial" w:cs="Arial"/>
        </w:rPr>
      </w:pPr>
      <w:r w:rsidRPr="00AD204C">
        <w:rPr>
          <w:rFonts w:ascii="Arial" w:hAnsi="Arial" w:cs="Arial"/>
        </w:rPr>
        <w:t>Ocampo, J.O. (2015)</w:t>
      </w:r>
      <w:r w:rsidR="007803CB">
        <w:rPr>
          <w:rFonts w:ascii="Arial" w:hAnsi="Arial" w:cs="Arial"/>
        </w:rPr>
        <w:t>.</w:t>
      </w:r>
      <w:r w:rsidRPr="00AD204C">
        <w:rPr>
          <w:rFonts w:ascii="Arial" w:hAnsi="Arial" w:cs="Arial"/>
        </w:rPr>
        <w:t xml:space="preserve"> </w:t>
      </w:r>
      <w:r w:rsidR="007803CB">
        <w:rPr>
          <w:rFonts w:ascii="Arial" w:hAnsi="Arial" w:cs="Arial"/>
        </w:rPr>
        <w:t>“</w:t>
      </w:r>
      <w:r w:rsidRPr="00CC010C">
        <w:rPr>
          <w:rFonts w:ascii="Arial" w:hAnsi="Arial" w:cs="Arial"/>
        </w:rPr>
        <w:t>Gobernanza global y desarrollo: una comprensión cabal de las instituciones y las prioridades</w:t>
      </w:r>
      <w:r w:rsidR="007803CB">
        <w:rPr>
          <w:rFonts w:ascii="Arial" w:hAnsi="Arial" w:cs="Arial"/>
        </w:rPr>
        <w:t xml:space="preserve">”. </w:t>
      </w:r>
      <w:r w:rsidRPr="00BC1EF8">
        <w:rPr>
          <w:rFonts w:ascii="Arial" w:hAnsi="Arial" w:cs="Arial"/>
        </w:rPr>
        <w:t xml:space="preserve">En: Ocampo (Edit.) </w:t>
      </w:r>
      <w:r w:rsidRPr="007803CB">
        <w:rPr>
          <w:rFonts w:ascii="Arial" w:hAnsi="Arial" w:cs="Arial"/>
          <w:i/>
        </w:rPr>
        <w:t xml:space="preserve">Gobernanza global y desarrollo. Nuevos desafíos y prioridades de la cooperación internacional. </w:t>
      </w:r>
      <w:r w:rsidR="007803CB">
        <w:rPr>
          <w:rFonts w:ascii="Arial" w:hAnsi="Arial" w:cs="Arial"/>
        </w:rPr>
        <w:t>Santiago de Chile,</w:t>
      </w:r>
      <w:r w:rsidRPr="003F5885">
        <w:rPr>
          <w:rFonts w:ascii="Arial" w:hAnsi="Arial" w:cs="Arial"/>
        </w:rPr>
        <w:t xml:space="preserve"> Siglo XXI Editores. </w:t>
      </w:r>
    </w:p>
    <w:p w14:paraId="1719FBCF" w14:textId="401AA6F6" w:rsidR="00BC1EF8" w:rsidRPr="00E6008D" w:rsidRDefault="00BC1EF8" w:rsidP="00E064B5">
      <w:pPr>
        <w:spacing w:line="240" w:lineRule="auto"/>
        <w:ind w:left="709" w:hanging="709"/>
        <w:jc w:val="both"/>
        <w:rPr>
          <w:rFonts w:ascii="Arial" w:hAnsi="Arial" w:cs="Arial"/>
        </w:rPr>
      </w:pPr>
      <w:r w:rsidRPr="00BC1EF8">
        <w:rPr>
          <w:rFonts w:ascii="Arial" w:hAnsi="Arial" w:cs="Arial"/>
        </w:rPr>
        <w:t>Ocampo, J.</w:t>
      </w:r>
      <w:r w:rsidR="00F0232B">
        <w:rPr>
          <w:rFonts w:ascii="Arial" w:hAnsi="Arial" w:cs="Arial"/>
        </w:rPr>
        <w:t xml:space="preserve"> </w:t>
      </w:r>
      <w:r w:rsidRPr="00BC1EF8">
        <w:rPr>
          <w:rFonts w:ascii="Arial" w:hAnsi="Arial" w:cs="Arial"/>
        </w:rPr>
        <w:t>O. (201</w:t>
      </w:r>
      <w:r w:rsidR="007803CB">
        <w:rPr>
          <w:rFonts w:ascii="Arial" w:hAnsi="Arial" w:cs="Arial"/>
        </w:rPr>
        <w:t>5). “</w:t>
      </w:r>
      <w:r w:rsidRPr="00BC1EF8">
        <w:rPr>
          <w:rFonts w:ascii="Arial" w:hAnsi="Arial" w:cs="Arial"/>
        </w:rPr>
        <w:t>La gobernanza económica y social y el sistema de las Naciones Unidas</w:t>
      </w:r>
      <w:r w:rsidR="007803CB">
        <w:rPr>
          <w:rFonts w:ascii="Arial" w:hAnsi="Arial" w:cs="Arial"/>
        </w:rPr>
        <w:t>”</w:t>
      </w:r>
      <w:r w:rsidRPr="00ED4084">
        <w:rPr>
          <w:rFonts w:ascii="Arial" w:hAnsi="Arial" w:cs="Arial"/>
        </w:rPr>
        <w:t>. En: Ocampo</w:t>
      </w:r>
      <w:r w:rsidR="00F0232B">
        <w:rPr>
          <w:rFonts w:ascii="Arial" w:hAnsi="Arial" w:cs="Arial"/>
        </w:rPr>
        <w:t>, J.</w:t>
      </w:r>
      <w:r w:rsidRPr="00ED4084">
        <w:rPr>
          <w:rFonts w:ascii="Arial" w:hAnsi="Arial" w:cs="Arial"/>
        </w:rPr>
        <w:t xml:space="preserve"> (Edit.) </w:t>
      </w:r>
      <w:r w:rsidRPr="007803CB">
        <w:rPr>
          <w:rFonts w:ascii="Arial" w:hAnsi="Arial" w:cs="Arial"/>
          <w:i/>
        </w:rPr>
        <w:t>Gobernanza global y desarrollo. Nuevos desafíos y prioridades de la cooperación internacional.</w:t>
      </w:r>
      <w:r w:rsidRPr="00764242">
        <w:rPr>
          <w:rFonts w:ascii="Arial" w:hAnsi="Arial" w:cs="Arial"/>
        </w:rPr>
        <w:t xml:space="preserve"> </w:t>
      </w:r>
      <w:r w:rsidR="007803CB">
        <w:rPr>
          <w:rFonts w:ascii="Arial" w:hAnsi="Arial" w:cs="Arial"/>
        </w:rPr>
        <w:t>Santiago de Chile,</w:t>
      </w:r>
      <w:r w:rsidR="007803CB" w:rsidRPr="003F5885">
        <w:rPr>
          <w:rFonts w:ascii="Arial" w:hAnsi="Arial" w:cs="Arial"/>
        </w:rPr>
        <w:t xml:space="preserve"> Siglo XXI Editores.</w:t>
      </w:r>
    </w:p>
    <w:p w14:paraId="5ADE01D3" w14:textId="17FA3E7B" w:rsidR="00F0232B" w:rsidRDefault="00F0232B" w:rsidP="00E064B5">
      <w:pPr>
        <w:spacing w:line="240" w:lineRule="auto"/>
        <w:ind w:left="709" w:hanging="709"/>
        <w:jc w:val="both"/>
        <w:rPr>
          <w:rFonts w:ascii="Arial" w:hAnsi="Arial" w:cs="Arial"/>
        </w:rPr>
      </w:pPr>
      <w:r>
        <w:rPr>
          <w:rFonts w:ascii="Arial" w:hAnsi="Arial" w:cs="Arial"/>
        </w:rPr>
        <w:t>Oddone, N. (2018). “Cadenas regionales de valor: una oportunidad para la inters</w:t>
      </w:r>
      <w:r w:rsidR="007803CB">
        <w:rPr>
          <w:rFonts w:ascii="Arial" w:hAnsi="Arial" w:cs="Arial"/>
        </w:rPr>
        <w:t xml:space="preserve">ectorialidad en la Región SICA”. </w:t>
      </w:r>
      <w:r w:rsidR="007803CB">
        <w:rPr>
          <w:rFonts w:ascii="Arial" w:hAnsi="Arial" w:cs="Arial"/>
          <w:lang w:val="es-AR"/>
        </w:rPr>
        <w:t>E</w:t>
      </w:r>
      <w:r w:rsidR="007803CB" w:rsidRPr="008D3413">
        <w:rPr>
          <w:rFonts w:ascii="Arial" w:hAnsi="Arial" w:cs="Arial"/>
          <w:lang w:val="es-419"/>
        </w:rPr>
        <w:t>n</w:t>
      </w:r>
      <w:r w:rsidR="007803CB">
        <w:rPr>
          <w:rFonts w:ascii="Arial" w:hAnsi="Arial" w:cs="Arial"/>
          <w:lang w:val="es-419"/>
        </w:rPr>
        <w:t>:</w:t>
      </w:r>
      <w:r>
        <w:rPr>
          <w:rFonts w:ascii="Arial" w:hAnsi="Arial" w:cs="Arial"/>
        </w:rPr>
        <w:t xml:space="preserve"> </w:t>
      </w:r>
      <w:r>
        <w:rPr>
          <w:rFonts w:ascii="Arial" w:hAnsi="Arial" w:cs="Arial"/>
          <w:lang w:val="es-MX"/>
        </w:rPr>
        <w:t xml:space="preserve">Reyes Ruiz, M. (ed.), </w:t>
      </w:r>
      <w:r w:rsidRPr="007803CB">
        <w:rPr>
          <w:rFonts w:ascii="Arial" w:hAnsi="Arial" w:cs="Arial"/>
          <w:i/>
          <w:lang w:val="es-MX"/>
        </w:rPr>
        <w:t xml:space="preserve">Gobernanza e integración regional. </w:t>
      </w:r>
      <w:r>
        <w:rPr>
          <w:rFonts w:ascii="Arial" w:hAnsi="Arial" w:cs="Arial"/>
          <w:lang w:val="es-MX"/>
        </w:rPr>
        <w:t>Mexicali, Universidad Autónoma de Baja California (UABC)</w:t>
      </w:r>
      <w:r w:rsidR="00F31673">
        <w:rPr>
          <w:rFonts w:ascii="Arial" w:hAnsi="Arial" w:cs="Arial"/>
          <w:lang w:val="es-MX"/>
        </w:rPr>
        <w:t xml:space="preserve"> (en imprenta)</w:t>
      </w:r>
      <w:r>
        <w:rPr>
          <w:rFonts w:ascii="Arial" w:hAnsi="Arial" w:cs="Arial"/>
          <w:lang w:val="es-MX"/>
        </w:rPr>
        <w:t>.</w:t>
      </w:r>
    </w:p>
    <w:p w14:paraId="11F8DC63" w14:textId="56AF0A9D" w:rsidR="00BC1EF8" w:rsidRDefault="00BC1EF8">
      <w:pPr>
        <w:spacing w:line="240" w:lineRule="auto"/>
        <w:ind w:left="709" w:hanging="709"/>
        <w:jc w:val="both"/>
        <w:rPr>
          <w:rFonts w:ascii="Arial" w:hAnsi="Arial" w:cs="Arial"/>
          <w:lang w:val="es-PY"/>
        </w:rPr>
      </w:pPr>
      <w:r>
        <w:rPr>
          <w:rFonts w:ascii="Arial" w:hAnsi="Arial" w:cs="Arial"/>
        </w:rPr>
        <w:t xml:space="preserve">Oddone, N. y Rodriguez Vázquez, H. (2016). </w:t>
      </w:r>
      <w:r w:rsidRPr="008D3413">
        <w:rPr>
          <w:rFonts w:ascii="Arial" w:hAnsi="Arial" w:cs="Arial"/>
          <w:lang w:val="es-419"/>
        </w:rPr>
        <w:t>“Cooperación Triangular: Perpectivas latinoamericano-caribeñas”</w:t>
      </w:r>
      <w:r w:rsidR="007803CB">
        <w:rPr>
          <w:rFonts w:ascii="Arial" w:hAnsi="Arial" w:cs="Arial"/>
          <w:lang w:val="es-419"/>
        </w:rPr>
        <w:t>.</w:t>
      </w:r>
      <w:r w:rsidR="00F0232B" w:rsidRPr="008D3413">
        <w:rPr>
          <w:rFonts w:ascii="Arial" w:hAnsi="Arial" w:cs="Arial"/>
          <w:lang w:val="es-419"/>
        </w:rPr>
        <w:t xml:space="preserve"> </w:t>
      </w:r>
      <w:r w:rsidR="007803CB">
        <w:rPr>
          <w:rFonts w:ascii="Arial" w:hAnsi="Arial" w:cs="Arial"/>
          <w:lang w:val="es-AR"/>
        </w:rPr>
        <w:t>E</w:t>
      </w:r>
      <w:r w:rsidRPr="008D3413">
        <w:rPr>
          <w:rFonts w:ascii="Arial" w:hAnsi="Arial" w:cs="Arial"/>
          <w:lang w:val="es-419"/>
        </w:rPr>
        <w:t>n</w:t>
      </w:r>
      <w:r w:rsidR="007803CB">
        <w:rPr>
          <w:rFonts w:ascii="Arial" w:hAnsi="Arial" w:cs="Arial"/>
          <w:lang w:val="es-419"/>
        </w:rPr>
        <w:t>:</w:t>
      </w:r>
      <w:r w:rsidRPr="008D3413">
        <w:rPr>
          <w:rFonts w:ascii="Arial" w:hAnsi="Arial" w:cs="Arial"/>
          <w:lang w:val="es-419"/>
        </w:rPr>
        <w:t xml:space="preserve"> Velázquez, R., Ponce, E. y Lucatello, S. (coord.), </w:t>
      </w:r>
      <w:r w:rsidRPr="008D3413">
        <w:rPr>
          <w:rFonts w:ascii="Arial" w:hAnsi="Arial" w:cs="Arial"/>
          <w:i/>
          <w:lang w:val="es-419"/>
        </w:rPr>
        <w:t xml:space="preserve">Teoría y práctica de la cooperación internacional para el desarrollo: Una </w:t>
      </w:r>
      <w:r w:rsidRPr="008D3413">
        <w:rPr>
          <w:rFonts w:ascii="Arial" w:hAnsi="Arial" w:cs="Arial"/>
          <w:i/>
          <w:lang w:val="es-419"/>
        </w:rPr>
        <w:lastRenderedPageBreak/>
        <w:t>perspectiva desde México</w:t>
      </w:r>
      <w:r w:rsidRPr="008D3413">
        <w:rPr>
          <w:rFonts w:ascii="Arial" w:hAnsi="Arial" w:cs="Arial"/>
          <w:lang w:val="es-419"/>
        </w:rPr>
        <w:t xml:space="preserve">. </w:t>
      </w:r>
      <w:r w:rsidR="00F0232B" w:rsidRPr="008D3413">
        <w:rPr>
          <w:rFonts w:ascii="Arial" w:hAnsi="Arial" w:cs="Arial"/>
          <w:lang w:val="es-419"/>
        </w:rPr>
        <w:t xml:space="preserve">Ciudad de </w:t>
      </w:r>
      <w:r w:rsidRPr="008D3413">
        <w:rPr>
          <w:rFonts w:ascii="Arial" w:hAnsi="Arial" w:cs="Arial"/>
          <w:lang w:val="es-419"/>
        </w:rPr>
        <w:t>México, Asociación Mexicana de Estudios Internacionales, Red Mexicana de Cooperación Internacional y Desarrollo and Centro de Gestión y Cooperación Internacional para el Desarrollo</w:t>
      </w:r>
      <w:r w:rsidR="00C83B59" w:rsidRPr="008D3413">
        <w:rPr>
          <w:rFonts w:ascii="Arial" w:hAnsi="Arial" w:cs="Arial"/>
          <w:lang w:val="es-419"/>
        </w:rPr>
        <w:t>.</w:t>
      </w:r>
      <w:r w:rsidRPr="008D3413">
        <w:rPr>
          <w:rFonts w:ascii="Arial" w:hAnsi="Arial" w:cs="Arial"/>
          <w:lang w:val="es-419"/>
        </w:rPr>
        <w:t xml:space="preserve"> </w:t>
      </w:r>
      <w:r w:rsidRPr="00E064B5">
        <w:rPr>
          <w:rFonts w:ascii="Arial" w:hAnsi="Arial" w:cs="Arial"/>
          <w:lang w:val="es-PY"/>
        </w:rPr>
        <w:t>pp. 171-182.</w:t>
      </w:r>
    </w:p>
    <w:p w14:paraId="6B4E78A0" w14:textId="1F456C32" w:rsidR="00C83B59" w:rsidRPr="00E064B5" w:rsidRDefault="00C83B59" w:rsidP="00E064B5">
      <w:pPr>
        <w:spacing w:line="240" w:lineRule="auto"/>
        <w:ind w:left="709" w:hanging="709"/>
        <w:jc w:val="both"/>
        <w:rPr>
          <w:rFonts w:ascii="Arial" w:hAnsi="Arial" w:cs="Arial"/>
          <w:lang w:val="es-PY"/>
        </w:rPr>
      </w:pPr>
      <w:r>
        <w:rPr>
          <w:rFonts w:ascii="Arial" w:hAnsi="Arial" w:cs="Arial"/>
          <w:lang w:val="es-PY"/>
        </w:rPr>
        <w:t xml:space="preserve">Oddone, N. y Martín, P. (2014) </w:t>
      </w:r>
      <w:r w:rsidRPr="00C83B59">
        <w:rPr>
          <w:rFonts w:ascii="Arial" w:hAnsi="Arial" w:cs="Arial"/>
          <w:lang w:val="es-PY"/>
        </w:rPr>
        <w:t xml:space="preserve">“El caleidoscopio de la Cooperación Sur-Sur en la Argentina: ¿muchos </w:t>
      </w:r>
      <w:r w:rsidR="007803CB">
        <w:rPr>
          <w:rFonts w:ascii="Arial" w:hAnsi="Arial" w:cs="Arial"/>
          <w:lang w:val="es-PY"/>
        </w:rPr>
        <w:t xml:space="preserve">prismas con un mismo objetivo?”. </w:t>
      </w:r>
      <w:r w:rsidR="007803CB">
        <w:rPr>
          <w:rFonts w:ascii="Arial" w:hAnsi="Arial" w:cs="Arial"/>
          <w:lang w:val="es-AR"/>
        </w:rPr>
        <w:t>E</w:t>
      </w:r>
      <w:r w:rsidR="007803CB" w:rsidRPr="008D3413">
        <w:rPr>
          <w:rFonts w:ascii="Arial" w:hAnsi="Arial" w:cs="Arial"/>
          <w:lang w:val="es-419"/>
        </w:rPr>
        <w:t>n</w:t>
      </w:r>
      <w:r w:rsidR="007803CB">
        <w:rPr>
          <w:rFonts w:ascii="Arial" w:hAnsi="Arial" w:cs="Arial"/>
          <w:lang w:val="es-419"/>
        </w:rPr>
        <w:t>:</w:t>
      </w:r>
      <w:r w:rsidRPr="00C83B59">
        <w:rPr>
          <w:rFonts w:ascii="Arial" w:hAnsi="Arial" w:cs="Arial"/>
          <w:lang w:val="es-PY"/>
        </w:rPr>
        <w:t xml:space="preserve"> Ayala Martínez, C</w:t>
      </w:r>
      <w:r>
        <w:rPr>
          <w:rFonts w:ascii="Arial" w:hAnsi="Arial" w:cs="Arial"/>
          <w:lang w:val="es-PY"/>
        </w:rPr>
        <w:t>.</w:t>
      </w:r>
      <w:r w:rsidRPr="00C83B59">
        <w:rPr>
          <w:rFonts w:ascii="Arial" w:hAnsi="Arial" w:cs="Arial"/>
          <w:lang w:val="es-PY"/>
        </w:rPr>
        <w:t xml:space="preserve"> y Riviera de la Rosa, J. (coord</w:t>
      </w:r>
      <w:r w:rsidRPr="00E064B5">
        <w:rPr>
          <w:rFonts w:ascii="Arial" w:hAnsi="Arial" w:cs="Arial"/>
          <w:i/>
          <w:lang w:val="es-PY"/>
        </w:rPr>
        <w:t xml:space="preserve">.). De la diversidad a la consonancia: La Cooperación Sur-Sur Latinoamericana, Volumen II: Estudios de país, esquemas bilaterales y triangulares. </w:t>
      </w:r>
      <w:r>
        <w:rPr>
          <w:rFonts w:ascii="Arial" w:hAnsi="Arial" w:cs="Arial"/>
          <w:lang w:val="es-PY"/>
        </w:rPr>
        <w:t xml:space="preserve">Ciudad de </w:t>
      </w:r>
      <w:r w:rsidRPr="00C83B59">
        <w:rPr>
          <w:rFonts w:ascii="Arial" w:hAnsi="Arial" w:cs="Arial"/>
          <w:lang w:val="es-PY"/>
        </w:rPr>
        <w:t xml:space="preserve">México, Instituto de Investigaciones Dr. José María Mora, Benemérita Universidad Autónoma de Puebla </w:t>
      </w:r>
      <w:r>
        <w:rPr>
          <w:rFonts w:ascii="Arial" w:hAnsi="Arial" w:cs="Arial"/>
          <w:lang w:val="es-PY"/>
        </w:rPr>
        <w:t xml:space="preserve">y </w:t>
      </w:r>
      <w:r w:rsidRPr="00C83B59">
        <w:rPr>
          <w:rFonts w:ascii="Arial" w:hAnsi="Arial" w:cs="Arial"/>
          <w:lang w:val="es-PY"/>
        </w:rPr>
        <w:t>Consejo Nacional de Investigaciones Técnicas y Científicas. pp. 79-113.</w:t>
      </w:r>
    </w:p>
    <w:p w14:paraId="79F1BDD7" w14:textId="29396784" w:rsidR="000D27F6" w:rsidRDefault="000D27F6">
      <w:pPr>
        <w:autoSpaceDE w:val="0"/>
        <w:autoSpaceDN w:val="0"/>
        <w:adjustRightInd w:val="0"/>
        <w:spacing w:line="240" w:lineRule="auto"/>
        <w:ind w:left="709" w:hanging="709"/>
        <w:jc w:val="both"/>
        <w:rPr>
          <w:rFonts w:ascii="Arial" w:hAnsi="Arial" w:cs="Arial"/>
          <w:lang w:val="es-MX"/>
        </w:rPr>
      </w:pPr>
      <w:r>
        <w:rPr>
          <w:rFonts w:ascii="Arial" w:hAnsi="Arial" w:cs="Arial"/>
          <w:lang w:val="es-MX"/>
        </w:rPr>
        <w:t>Padilla, R. y Alvarado, J. (2014)</w:t>
      </w:r>
      <w:r w:rsidR="004E0649">
        <w:rPr>
          <w:rFonts w:ascii="Arial" w:hAnsi="Arial" w:cs="Arial"/>
          <w:lang w:val="es-MX"/>
        </w:rPr>
        <w:t>. “El resurgimiento de la política industrial</w:t>
      </w:r>
      <w:r w:rsidR="007803CB">
        <w:rPr>
          <w:rFonts w:ascii="Arial" w:hAnsi="Arial" w:cs="Arial"/>
          <w:lang w:val="es-MX"/>
        </w:rPr>
        <w:t>”</w:t>
      </w:r>
      <w:r w:rsidR="004E0649">
        <w:rPr>
          <w:rFonts w:ascii="Arial" w:hAnsi="Arial" w:cs="Arial"/>
          <w:lang w:val="es-MX"/>
        </w:rPr>
        <w:t xml:space="preserve">. En: </w:t>
      </w:r>
      <w:r w:rsidRPr="000D27F6">
        <w:rPr>
          <w:rFonts w:ascii="Arial" w:hAnsi="Arial" w:cs="Arial"/>
          <w:lang w:val="es-MX"/>
        </w:rPr>
        <w:t>Padilla</w:t>
      </w:r>
      <w:r w:rsidR="004E0649">
        <w:rPr>
          <w:rFonts w:ascii="Arial" w:hAnsi="Arial" w:cs="Arial"/>
          <w:lang w:val="es-MX"/>
        </w:rPr>
        <w:t>, R.</w:t>
      </w:r>
      <w:r w:rsidRPr="000D27F6">
        <w:rPr>
          <w:rFonts w:ascii="Arial" w:hAnsi="Arial" w:cs="Arial"/>
          <w:lang w:val="es-MX"/>
        </w:rPr>
        <w:t xml:space="preserve"> (ed.), </w:t>
      </w:r>
      <w:r w:rsidRPr="00E064B5">
        <w:rPr>
          <w:rFonts w:ascii="Arial" w:hAnsi="Arial" w:cs="Arial"/>
          <w:i/>
          <w:lang w:val="es-MX"/>
        </w:rPr>
        <w:t>Fortalecimiento de las cadenas de valor como instrumento de la Política Industrial</w:t>
      </w:r>
      <w:r w:rsidRPr="000D27F6">
        <w:rPr>
          <w:rFonts w:ascii="Arial" w:hAnsi="Arial" w:cs="Arial"/>
          <w:lang w:val="es-MX"/>
        </w:rPr>
        <w:t>. Santiago de Chile, Comisión Económica para América Latina y el Caribe (CEPAL) y Deutsche Gesellschaft für Internationale Zusammenarbeit (GIZ)</w:t>
      </w:r>
      <w:r w:rsidR="004E0649">
        <w:rPr>
          <w:rFonts w:ascii="Arial" w:hAnsi="Arial" w:cs="Arial"/>
          <w:lang w:val="es-MX"/>
        </w:rPr>
        <w:t>.</w:t>
      </w:r>
    </w:p>
    <w:p w14:paraId="29234761" w14:textId="2DB610B5" w:rsidR="00C10186" w:rsidRPr="00E064B5" w:rsidRDefault="00C10186" w:rsidP="00C10186">
      <w:pPr>
        <w:autoSpaceDE w:val="0"/>
        <w:autoSpaceDN w:val="0"/>
        <w:adjustRightInd w:val="0"/>
        <w:spacing w:line="240" w:lineRule="auto"/>
        <w:ind w:left="709" w:hanging="709"/>
        <w:jc w:val="both"/>
        <w:rPr>
          <w:rFonts w:ascii="Arial" w:hAnsi="Arial" w:cs="Arial"/>
          <w:lang w:val="es-PY"/>
        </w:rPr>
      </w:pPr>
      <w:r w:rsidRPr="00E064B5">
        <w:rPr>
          <w:rFonts w:ascii="Arial" w:hAnsi="Arial" w:cs="Arial"/>
          <w:lang w:val="es-PY"/>
        </w:rPr>
        <w:t xml:space="preserve">Peres, W. y Primi, A. (2009). </w:t>
      </w:r>
      <w:r w:rsidRPr="00E064B5">
        <w:rPr>
          <w:rFonts w:ascii="Arial" w:hAnsi="Arial" w:cs="Arial"/>
          <w:lang w:val="en-US"/>
        </w:rPr>
        <w:t>“Theory and practice of industrial policy:</w:t>
      </w:r>
      <w:r w:rsidRPr="00C10186">
        <w:rPr>
          <w:rFonts w:ascii="Arial" w:hAnsi="Arial" w:cs="Arial"/>
          <w:lang w:val="en-US"/>
        </w:rPr>
        <w:t xml:space="preserve"> </w:t>
      </w:r>
      <w:r w:rsidRPr="00E064B5">
        <w:rPr>
          <w:rFonts w:ascii="Arial" w:hAnsi="Arial" w:cs="Arial"/>
          <w:lang w:val="en-US"/>
        </w:rPr>
        <w:t xml:space="preserve">evidence from the Latin American experience”, </w:t>
      </w:r>
      <w:r w:rsidRPr="00E064B5">
        <w:rPr>
          <w:rFonts w:ascii="Arial" w:hAnsi="Arial" w:cs="Arial"/>
          <w:i/>
          <w:lang w:val="en-US"/>
        </w:rPr>
        <w:t>Serie Desarrollo Productivo</w:t>
      </w:r>
      <w:r w:rsidRPr="00E064B5">
        <w:rPr>
          <w:rFonts w:ascii="Arial" w:hAnsi="Arial" w:cs="Arial"/>
          <w:lang w:val="en-US"/>
        </w:rPr>
        <w:t>,</w:t>
      </w:r>
      <w:r w:rsidRPr="00C10186">
        <w:rPr>
          <w:rFonts w:ascii="Arial" w:hAnsi="Arial" w:cs="Arial"/>
          <w:lang w:val="en-US"/>
        </w:rPr>
        <w:t xml:space="preserve"> </w:t>
      </w:r>
      <w:r w:rsidRPr="00E064B5">
        <w:rPr>
          <w:rFonts w:ascii="Arial" w:hAnsi="Arial" w:cs="Arial"/>
          <w:lang w:val="en-US"/>
        </w:rPr>
        <w:t xml:space="preserve">Nº 187. </w:t>
      </w:r>
      <w:r w:rsidRPr="00C10186">
        <w:rPr>
          <w:rFonts w:ascii="Arial" w:hAnsi="Arial" w:cs="Arial"/>
          <w:lang w:val="es-MX"/>
        </w:rPr>
        <w:t>Santiago de Chile, Comisión Económica para América</w:t>
      </w:r>
      <w:r>
        <w:rPr>
          <w:rFonts w:ascii="Arial" w:hAnsi="Arial" w:cs="Arial"/>
          <w:lang w:val="es-MX"/>
        </w:rPr>
        <w:t xml:space="preserve"> </w:t>
      </w:r>
      <w:r w:rsidRPr="00C10186">
        <w:rPr>
          <w:rFonts w:ascii="Arial" w:hAnsi="Arial" w:cs="Arial"/>
          <w:lang w:val="es-MX"/>
        </w:rPr>
        <w:t>Latina y el Caribe (CEPAL).</w:t>
      </w:r>
    </w:p>
    <w:p w14:paraId="3DF84CF3" w14:textId="33F2C0F1" w:rsidR="00AE7E73" w:rsidRPr="00305268" w:rsidRDefault="00AE7E73">
      <w:pPr>
        <w:autoSpaceDE w:val="0"/>
        <w:autoSpaceDN w:val="0"/>
        <w:adjustRightInd w:val="0"/>
        <w:spacing w:line="240" w:lineRule="auto"/>
        <w:ind w:left="709" w:hanging="709"/>
        <w:jc w:val="both"/>
        <w:rPr>
          <w:rFonts w:ascii="Arial" w:hAnsi="Arial" w:cs="Arial"/>
        </w:rPr>
      </w:pPr>
      <w:r>
        <w:rPr>
          <w:rFonts w:ascii="Arial" w:hAnsi="Arial" w:cs="Arial"/>
        </w:rPr>
        <w:t xml:space="preserve">Revista </w:t>
      </w:r>
      <w:r w:rsidR="00305268">
        <w:rPr>
          <w:rFonts w:ascii="Arial" w:hAnsi="Arial" w:cs="Arial"/>
        </w:rPr>
        <w:t>PARLASUR</w:t>
      </w:r>
      <w:r>
        <w:rPr>
          <w:rFonts w:ascii="Arial" w:hAnsi="Arial" w:cs="Arial"/>
        </w:rPr>
        <w:t xml:space="preserve"> (2017). </w:t>
      </w:r>
      <w:r w:rsidR="00305268">
        <w:rPr>
          <w:rFonts w:ascii="Arial" w:hAnsi="Arial" w:cs="Arial"/>
          <w:i/>
        </w:rPr>
        <w:t xml:space="preserve">Los objetivos de desarrollo sostenible. </w:t>
      </w:r>
      <w:r w:rsidR="00305268">
        <w:rPr>
          <w:rFonts w:ascii="Arial" w:hAnsi="Arial" w:cs="Arial"/>
        </w:rPr>
        <w:t>Montevideo, PARLASUR.</w:t>
      </w:r>
    </w:p>
    <w:p w14:paraId="3493CA3D" w14:textId="6DE543D7" w:rsidR="005B2BF2" w:rsidRPr="00E064B5" w:rsidRDefault="005B2BF2">
      <w:pPr>
        <w:autoSpaceDE w:val="0"/>
        <w:autoSpaceDN w:val="0"/>
        <w:adjustRightInd w:val="0"/>
        <w:spacing w:line="240" w:lineRule="auto"/>
        <w:ind w:left="709" w:hanging="709"/>
        <w:jc w:val="both"/>
        <w:rPr>
          <w:rFonts w:ascii="Arial" w:hAnsi="Arial" w:cs="Arial"/>
          <w:lang w:val="es-ES_tradnl"/>
        </w:rPr>
      </w:pPr>
      <w:r w:rsidRPr="005B2BF2">
        <w:rPr>
          <w:rFonts w:ascii="Arial" w:hAnsi="Arial" w:cs="Arial"/>
          <w:lang w:val="es-ES_tradnl"/>
        </w:rPr>
        <w:t>Secretaría General Iberoamericana (2011)</w:t>
      </w:r>
      <w:r>
        <w:rPr>
          <w:rFonts w:ascii="Arial" w:hAnsi="Arial" w:cs="Arial"/>
          <w:lang w:val="es-ES_tradnl"/>
        </w:rPr>
        <w:t>.</w:t>
      </w:r>
      <w:r w:rsidRPr="005B2BF2">
        <w:rPr>
          <w:rFonts w:ascii="Arial" w:hAnsi="Arial" w:cs="Arial"/>
          <w:lang w:val="es-ES_tradnl"/>
        </w:rPr>
        <w:t xml:space="preserve"> </w:t>
      </w:r>
      <w:r w:rsidRPr="00E064B5">
        <w:rPr>
          <w:rFonts w:ascii="Arial" w:hAnsi="Arial" w:cs="Arial"/>
          <w:i/>
          <w:lang w:val="es-ES_tradnl"/>
        </w:rPr>
        <w:t>Declaración Final de la XXI Cumbre Iberoamericana de Jefes de Estado y de Gobierno</w:t>
      </w:r>
      <w:r>
        <w:rPr>
          <w:rFonts w:ascii="Arial" w:hAnsi="Arial" w:cs="Arial"/>
          <w:lang w:val="es-ES_tradnl"/>
        </w:rPr>
        <w:t xml:space="preserve">. </w:t>
      </w:r>
      <w:r w:rsidRPr="005B2BF2">
        <w:rPr>
          <w:rFonts w:ascii="Arial" w:hAnsi="Arial" w:cs="Arial"/>
          <w:lang w:val="es-ES_tradnl"/>
        </w:rPr>
        <w:t>Madrid</w:t>
      </w:r>
      <w:r>
        <w:rPr>
          <w:rFonts w:ascii="Arial" w:hAnsi="Arial" w:cs="Arial"/>
          <w:lang w:val="es-ES_tradnl"/>
        </w:rPr>
        <w:t xml:space="preserve">, </w:t>
      </w:r>
      <w:r w:rsidR="007803CB">
        <w:rPr>
          <w:rFonts w:ascii="Arial" w:hAnsi="Arial" w:cs="Arial"/>
          <w:lang w:val="es-ES_tradnl"/>
        </w:rPr>
        <w:t>SEGIB.</w:t>
      </w:r>
    </w:p>
    <w:p w14:paraId="1825C414" w14:textId="301D85ED" w:rsidR="00500BC7" w:rsidRPr="001234E2" w:rsidRDefault="00BC1EF8" w:rsidP="001234E2">
      <w:pPr>
        <w:spacing w:line="240" w:lineRule="auto"/>
        <w:ind w:left="709" w:hanging="709"/>
        <w:jc w:val="both"/>
        <w:rPr>
          <w:rFonts w:ascii="Arial" w:hAnsi="Arial" w:cs="Arial"/>
          <w:lang w:val="es-MX"/>
        </w:rPr>
      </w:pPr>
      <w:r w:rsidRPr="003F5885">
        <w:rPr>
          <w:rFonts w:ascii="Arial" w:hAnsi="Arial" w:cs="Arial"/>
        </w:rPr>
        <w:t>Setaro, M. (2016)</w:t>
      </w:r>
      <w:r w:rsidR="004E0649">
        <w:rPr>
          <w:rFonts w:ascii="Arial" w:hAnsi="Arial" w:cs="Arial"/>
        </w:rPr>
        <w:t>.</w:t>
      </w:r>
      <w:r w:rsidRPr="003F5885">
        <w:rPr>
          <w:rFonts w:ascii="Arial" w:hAnsi="Arial" w:cs="Arial"/>
        </w:rPr>
        <w:t xml:space="preserve"> </w:t>
      </w:r>
      <w:r w:rsidR="004E0649">
        <w:rPr>
          <w:rFonts w:ascii="Arial" w:hAnsi="Arial" w:cs="Arial"/>
        </w:rPr>
        <w:t>“</w:t>
      </w:r>
      <w:r w:rsidRPr="003F5885">
        <w:rPr>
          <w:rFonts w:ascii="Arial" w:hAnsi="Arial" w:cs="Arial"/>
        </w:rPr>
        <w:t xml:space="preserve">Políticas Públicas regionales: el rol del Instituto Social del </w:t>
      </w:r>
      <w:r w:rsidR="001526EB">
        <w:rPr>
          <w:rFonts w:ascii="Arial" w:hAnsi="Arial" w:cs="Arial"/>
        </w:rPr>
        <w:t>MERCOSUR</w:t>
      </w:r>
      <w:r w:rsidR="004E0649">
        <w:rPr>
          <w:rFonts w:ascii="Arial" w:hAnsi="Arial" w:cs="Arial"/>
        </w:rPr>
        <w:t>”.</w:t>
      </w:r>
      <w:r w:rsidRPr="003F5885">
        <w:rPr>
          <w:rFonts w:ascii="Arial" w:hAnsi="Arial" w:cs="Arial"/>
        </w:rPr>
        <w:t xml:space="preserve"> </w:t>
      </w:r>
      <w:r w:rsidRPr="00201D7E">
        <w:rPr>
          <w:rFonts w:ascii="Arial" w:hAnsi="Arial" w:cs="Arial"/>
        </w:rPr>
        <w:t>En: García, M.C., y Setaro, M. (Coord.)</w:t>
      </w:r>
      <w:r w:rsidR="00305268">
        <w:rPr>
          <w:rFonts w:ascii="Arial" w:hAnsi="Arial" w:cs="Arial"/>
        </w:rPr>
        <w:t>,</w:t>
      </w:r>
      <w:r w:rsidRPr="00201D7E">
        <w:rPr>
          <w:rFonts w:ascii="Arial" w:hAnsi="Arial" w:cs="Arial"/>
        </w:rPr>
        <w:t xml:space="preserve"> </w:t>
      </w:r>
      <w:r w:rsidRPr="00E064B5">
        <w:rPr>
          <w:rFonts w:ascii="Arial" w:hAnsi="Arial" w:cs="Arial"/>
          <w:i/>
        </w:rPr>
        <w:t>Democracia y Políticas Públicas. El rol de la investigación en el ciclo de políticas sociales</w:t>
      </w:r>
      <w:r w:rsidRPr="003F5885">
        <w:rPr>
          <w:rFonts w:ascii="Arial" w:hAnsi="Arial" w:cs="Arial"/>
        </w:rPr>
        <w:t xml:space="preserve">. </w:t>
      </w:r>
      <w:r w:rsidR="00305268">
        <w:rPr>
          <w:rFonts w:ascii="Arial" w:hAnsi="Arial" w:cs="Arial"/>
        </w:rPr>
        <w:t xml:space="preserve">Asunción, </w:t>
      </w:r>
      <w:r w:rsidR="007803CB">
        <w:rPr>
          <w:rFonts w:ascii="Arial" w:hAnsi="Arial" w:cs="Arial"/>
          <w:lang w:val="es-MX"/>
        </w:rPr>
        <w:t>Instituto Social del MERCOSUR (</w:t>
      </w:r>
      <w:r w:rsidR="007803CB" w:rsidRPr="00BC1EF8">
        <w:rPr>
          <w:rFonts w:ascii="Arial" w:hAnsi="Arial" w:cs="Arial"/>
          <w:lang w:val="es-MX"/>
        </w:rPr>
        <w:t>ISM</w:t>
      </w:r>
      <w:r w:rsidR="007803CB">
        <w:rPr>
          <w:rFonts w:ascii="Arial" w:hAnsi="Arial" w:cs="Arial"/>
          <w:lang w:val="es-MX"/>
        </w:rPr>
        <w:t>)</w:t>
      </w:r>
      <w:r w:rsidR="007803CB" w:rsidRPr="00BC1EF8">
        <w:rPr>
          <w:rFonts w:ascii="Arial" w:hAnsi="Arial" w:cs="Arial"/>
          <w:lang w:val="es-MX"/>
        </w:rPr>
        <w:t>.</w:t>
      </w:r>
    </w:p>
    <w:sectPr w:rsidR="00500BC7" w:rsidRPr="001234E2" w:rsidSect="003C7520">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D501B" w14:textId="77777777" w:rsidR="00EA0483" w:rsidRDefault="00EA0483" w:rsidP="009C3094">
      <w:pPr>
        <w:spacing w:after="0" w:line="240" w:lineRule="auto"/>
      </w:pPr>
      <w:r>
        <w:separator/>
      </w:r>
    </w:p>
  </w:endnote>
  <w:endnote w:type="continuationSeparator" w:id="0">
    <w:p w14:paraId="3C5CBB33" w14:textId="77777777" w:rsidR="00EA0483" w:rsidRDefault="00EA0483" w:rsidP="009C3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536764"/>
      <w:docPartObj>
        <w:docPartGallery w:val="Page Numbers (Bottom of Page)"/>
        <w:docPartUnique/>
      </w:docPartObj>
    </w:sdtPr>
    <w:sdtEndPr/>
    <w:sdtContent>
      <w:p w14:paraId="35792E2B" w14:textId="734CECFC" w:rsidR="0069713C" w:rsidRDefault="0069713C">
        <w:pPr>
          <w:pStyle w:val="Piedepgina"/>
          <w:jc w:val="center"/>
        </w:pPr>
        <w:r>
          <w:fldChar w:fldCharType="begin"/>
        </w:r>
        <w:r>
          <w:instrText>PAGE   \* MERGEFORMAT</w:instrText>
        </w:r>
        <w:r>
          <w:fldChar w:fldCharType="separate"/>
        </w:r>
        <w:r w:rsidR="00460E82" w:rsidRPr="00460E82">
          <w:rPr>
            <w:noProof/>
            <w:lang w:val="es-ES"/>
          </w:rPr>
          <w:t>1</w:t>
        </w:r>
        <w:r>
          <w:fldChar w:fldCharType="end"/>
        </w:r>
      </w:p>
    </w:sdtContent>
  </w:sdt>
  <w:p w14:paraId="04ECFBB2" w14:textId="77777777" w:rsidR="0069713C" w:rsidRDefault="0069713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35BED" w14:textId="77777777" w:rsidR="00EA0483" w:rsidRDefault="00EA0483" w:rsidP="009C3094">
      <w:pPr>
        <w:spacing w:after="0" w:line="240" w:lineRule="auto"/>
      </w:pPr>
      <w:r>
        <w:separator/>
      </w:r>
    </w:p>
  </w:footnote>
  <w:footnote w:type="continuationSeparator" w:id="0">
    <w:p w14:paraId="3F3276D6" w14:textId="77777777" w:rsidR="00EA0483" w:rsidRDefault="00EA0483" w:rsidP="009C3094">
      <w:pPr>
        <w:spacing w:after="0" w:line="240" w:lineRule="auto"/>
      </w:pPr>
      <w:r>
        <w:continuationSeparator/>
      </w:r>
    </w:p>
  </w:footnote>
  <w:footnote w:id="1">
    <w:p w14:paraId="5640534A" w14:textId="77777777" w:rsidR="0069713C" w:rsidRPr="00A205D0" w:rsidRDefault="0069713C" w:rsidP="00E064B5">
      <w:pPr>
        <w:pStyle w:val="Textonotapie"/>
        <w:jc w:val="both"/>
        <w:rPr>
          <w:rFonts w:ascii="Arial" w:hAnsi="Arial" w:cs="Arial"/>
        </w:rPr>
      </w:pPr>
      <w:r w:rsidRPr="00A205D0">
        <w:rPr>
          <w:rStyle w:val="Refdenotaalpie"/>
          <w:rFonts w:ascii="Arial" w:hAnsi="Arial" w:cs="Arial"/>
        </w:rPr>
        <w:footnoteRef/>
      </w:r>
      <w:r w:rsidRPr="00A205D0">
        <w:rPr>
          <w:rFonts w:ascii="Arial" w:hAnsi="Arial" w:cs="Arial"/>
        </w:rPr>
        <w:t xml:space="preserve"> Sobre el fenómeno de la Globalización y las respuestas posibles desde América Latina, mantiene vigencia el informe de CEPAL (2002).</w:t>
      </w:r>
    </w:p>
  </w:footnote>
  <w:footnote w:id="2">
    <w:p w14:paraId="4E58DC7D" w14:textId="0FBBE9C8" w:rsidR="0069713C" w:rsidRPr="00A205D0" w:rsidRDefault="0069713C" w:rsidP="002D67B5">
      <w:pPr>
        <w:pStyle w:val="Textonotapie"/>
        <w:jc w:val="both"/>
        <w:rPr>
          <w:rFonts w:ascii="Arial" w:hAnsi="Arial" w:cs="Arial"/>
        </w:rPr>
      </w:pPr>
      <w:r w:rsidRPr="00A205D0">
        <w:rPr>
          <w:rStyle w:val="Refdenotaalpie"/>
          <w:rFonts w:ascii="Arial" w:hAnsi="Arial" w:cs="Arial"/>
        </w:rPr>
        <w:footnoteRef/>
      </w:r>
      <w:r w:rsidRPr="00A205D0">
        <w:rPr>
          <w:rFonts w:ascii="Arial" w:hAnsi="Arial" w:cs="Arial"/>
        </w:rPr>
        <w:t xml:space="preserve"> Según Jenks (2015: 219) durante la década de los 90 emergió un enfoque conocido como el de la “era de los objetivos”, dando lugar a la creación de los Objetivos de Desarrollo del Milenio (ODM), antecedente directo de los ODS 2030.</w:t>
      </w:r>
    </w:p>
  </w:footnote>
  <w:footnote w:id="3">
    <w:p w14:paraId="7CC8329E" w14:textId="131EAEE4" w:rsidR="0069713C" w:rsidRPr="00A205D0" w:rsidRDefault="0069713C" w:rsidP="00E064B5">
      <w:pPr>
        <w:pStyle w:val="Textonotapie"/>
        <w:jc w:val="both"/>
        <w:rPr>
          <w:rFonts w:ascii="Arial" w:hAnsi="Arial" w:cs="Arial"/>
        </w:rPr>
      </w:pPr>
      <w:r w:rsidRPr="00A205D0">
        <w:rPr>
          <w:rStyle w:val="Refdenotaalpie"/>
          <w:rFonts w:ascii="Arial" w:hAnsi="Arial" w:cs="Arial"/>
        </w:rPr>
        <w:footnoteRef/>
      </w:r>
      <w:r w:rsidRPr="00A205D0">
        <w:rPr>
          <w:rFonts w:ascii="Arial" w:hAnsi="Arial" w:cs="Arial"/>
        </w:rPr>
        <w:t xml:space="preserve"> Serán tratados en la sección 4, instrumentos tales como la Carta Social de la OEA o la Declaración de Montevideo sobre Población y Desarrollo, entre otros.  </w:t>
      </w:r>
    </w:p>
  </w:footnote>
  <w:footnote w:id="4">
    <w:p w14:paraId="7D3840F3" w14:textId="06C4E1B6" w:rsidR="0069713C" w:rsidRPr="00A205D0" w:rsidRDefault="0069713C" w:rsidP="00E064B5">
      <w:pPr>
        <w:pStyle w:val="Textonotapie"/>
        <w:jc w:val="both"/>
        <w:rPr>
          <w:rFonts w:ascii="Arial" w:hAnsi="Arial" w:cs="Arial"/>
          <w:lang w:val="es-ES_tradnl"/>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ES"/>
        </w:rPr>
        <w:t>Vale recordar que e</w:t>
      </w:r>
      <w:r w:rsidRPr="00A205D0">
        <w:rPr>
          <w:rFonts w:ascii="Arial" w:hAnsi="Arial" w:cs="Arial"/>
          <w:lang w:val="es-ES_tradnl"/>
        </w:rPr>
        <w:t>l Plan de Acción de Buenos Aires (1978) sobre la Cooperación Técnica entre Países en Desarrollo (CTPD) estableció las primeras orientaciones sobre el concepto de cooperación triangular. La Recomendación 35 de ese Plan establecía que:</w:t>
      </w:r>
      <w:r w:rsidRPr="00A205D0">
        <w:rPr>
          <w:rFonts w:ascii="Arial" w:hAnsi="Arial" w:cs="Arial"/>
          <w:lang w:val="es-ES"/>
        </w:rPr>
        <w:t xml:space="preserve"> </w:t>
      </w:r>
      <w:r w:rsidRPr="00A205D0">
        <w:rPr>
          <w:rFonts w:ascii="Arial" w:hAnsi="Arial" w:cs="Arial"/>
          <w:lang w:val="es-ES_tradnl"/>
        </w:rPr>
        <w:t xml:space="preserve">“los países desarrollados y sus instituciones deben dar su pleno apoyo a las iniciativas de CTPD, entre otras cosas: a) aumentando sus aportaciones voluntarias a los programas operacionales del sistema de las Naciones Unidas para el desarrollo, a fin de que se pueda dedicar un porcentaje mayor de los fondos de la cooperación técnica multilateral al respaldo de la CTPD; b) prestando apoyo financiero, con carácter voluntario, a la cooperación técnica entre dos o más países en desarrollo y a instituciones de los países en desarrollo que tengan potencial para la CTPD”. Para 1980, el concepto de cooperación triangular se establece de manera explícita en el célebre “Informe Brandt”. </w:t>
      </w:r>
    </w:p>
  </w:footnote>
  <w:footnote w:id="5">
    <w:p w14:paraId="78A70C5B" w14:textId="5E4A8FDB" w:rsidR="0069713C" w:rsidRPr="00A205D0" w:rsidRDefault="0069713C" w:rsidP="00682488">
      <w:pPr>
        <w:pStyle w:val="Textonotapie"/>
        <w:jc w:val="both"/>
        <w:rPr>
          <w:rFonts w:ascii="Arial" w:hAnsi="Arial" w:cs="Arial"/>
        </w:rPr>
      </w:pPr>
      <w:r w:rsidRPr="00A205D0">
        <w:rPr>
          <w:rStyle w:val="Refdenotaalpie"/>
          <w:rFonts w:ascii="Arial" w:hAnsi="Arial" w:cs="Arial"/>
        </w:rPr>
        <w:footnoteRef/>
      </w:r>
      <w:r w:rsidRPr="00A205D0">
        <w:rPr>
          <w:rFonts w:ascii="Arial" w:hAnsi="Arial" w:cs="Arial"/>
        </w:rPr>
        <w:t xml:space="preserve"> Además de los órganos políticos directivos y los organismos de asesoramiento técnico de la estructura MERCOSUR, también existen ámbitos que dan lugar a la participación y expresión política y social del bloque. Estos son las Cumbres Sociales, que reúnen a representantes de la sociedad civil organizada regional, así como el Parlamento del MERCOSUR (PARLASUR) que es un ámbito que reúne a los representantes electos de los países. </w:t>
      </w:r>
      <w:r w:rsidR="00485F11" w:rsidRPr="00A205D0">
        <w:rPr>
          <w:rFonts w:ascii="Arial" w:hAnsi="Arial" w:cs="Arial"/>
        </w:rPr>
        <w:t>Ambos mecanismos contribuyen a consolidar un ejercicio de ciudadanía regional más efectivo.</w:t>
      </w:r>
    </w:p>
  </w:footnote>
  <w:footnote w:id="6">
    <w:p w14:paraId="722092E0" w14:textId="4F2A0B37" w:rsidR="0069713C" w:rsidRPr="00A205D0" w:rsidRDefault="0069713C" w:rsidP="00E064B5">
      <w:pPr>
        <w:pStyle w:val="Textonotapie"/>
        <w:jc w:val="both"/>
        <w:rPr>
          <w:rFonts w:ascii="Arial" w:hAnsi="Arial" w:cs="Arial"/>
        </w:rPr>
      </w:pPr>
      <w:r w:rsidRPr="00A205D0">
        <w:rPr>
          <w:rStyle w:val="Refdenotaalpie"/>
          <w:rFonts w:ascii="Arial" w:hAnsi="Arial" w:cs="Arial"/>
        </w:rPr>
        <w:footnoteRef/>
      </w:r>
      <w:r w:rsidRPr="00A205D0">
        <w:rPr>
          <w:rFonts w:ascii="Arial" w:hAnsi="Arial" w:cs="Arial"/>
        </w:rPr>
        <w:t xml:space="preserve"> En ISM (2018: 27-121) hay una descripción ajustada de los principales ámbitos que componen la dimensión social del MERCOSUR y que participan del PEAS. </w:t>
      </w:r>
    </w:p>
  </w:footnote>
  <w:footnote w:id="7">
    <w:p w14:paraId="66AF8B17" w14:textId="77777777" w:rsidR="0069713C" w:rsidRPr="00A205D0" w:rsidRDefault="0069713C" w:rsidP="00E064B5">
      <w:pPr>
        <w:pStyle w:val="Textonotapie"/>
        <w:jc w:val="both"/>
        <w:rPr>
          <w:rFonts w:ascii="Arial" w:hAnsi="Arial" w:cs="Arial"/>
          <w:lang w:val="es-MX"/>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MX"/>
        </w:rPr>
        <w:t xml:space="preserve">Además del mecanismo de reportes nacionales, con rendiciones de cuentas y propuestas de mejora, el instrumento contempla el instituto de la “petición individual” para el amparo frente a presuntas violaciones a los derechos de libertad sindical y educación. </w:t>
      </w:r>
    </w:p>
  </w:footnote>
  <w:footnote w:id="8">
    <w:p w14:paraId="4E7DD800" w14:textId="2DBB2E76" w:rsidR="0069713C" w:rsidRPr="00A205D0" w:rsidRDefault="0069713C" w:rsidP="00E6008D">
      <w:pPr>
        <w:pStyle w:val="Textonotapie"/>
        <w:jc w:val="both"/>
        <w:rPr>
          <w:rFonts w:ascii="Arial" w:hAnsi="Arial" w:cs="Arial"/>
          <w:lang w:val="es-MX"/>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MX"/>
        </w:rPr>
        <w:t>Solo se presentan los indicadores de resultado</w:t>
      </w:r>
      <w:r w:rsidR="001234E2">
        <w:rPr>
          <w:rFonts w:ascii="Arial" w:hAnsi="Arial" w:cs="Arial"/>
          <w:lang w:val="es-MX"/>
        </w:rPr>
        <w:t xml:space="preserve">, </w:t>
      </w:r>
      <w:r w:rsidRPr="00A205D0">
        <w:rPr>
          <w:rFonts w:ascii="Arial" w:hAnsi="Arial" w:cs="Arial"/>
          <w:lang w:val="es-MX"/>
        </w:rPr>
        <w:t xml:space="preserve">para mayor información sobre los indicadores de estructura y de proceso puede visitarse: </w:t>
      </w:r>
      <w:hyperlink r:id="rId1" w:history="1">
        <w:r w:rsidRPr="00A205D0">
          <w:rPr>
            <w:rStyle w:val="Hipervnculo"/>
            <w:rFonts w:ascii="Arial" w:hAnsi="Arial" w:cs="Arial"/>
            <w:lang w:val="es-MX"/>
          </w:rPr>
          <w:t>http://www.oas.org/es/sadye/inclusion-social/protocolo-ssv/indicadores.asp</w:t>
        </w:r>
      </w:hyperlink>
      <w:r w:rsidRPr="00A205D0">
        <w:rPr>
          <w:rFonts w:ascii="Arial" w:hAnsi="Arial" w:cs="Arial"/>
          <w:lang w:val="es-MX"/>
        </w:rPr>
        <w:t xml:space="preserve"> </w:t>
      </w:r>
    </w:p>
  </w:footnote>
  <w:footnote w:id="9">
    <w:p w14:paraId="4CD462EC" w14:textId="1AFD19D2" w:rsidR="0069713C" w:rsidRPr="00A205D0" w:rsidRDefault="0069713C" w:rsidP="00E064B5">
      <w:pPr>
        <w:pStyle w:val="Textonotapie"/>
        <w:jc w:val="both"/>
        <w:rPr>
          <w:rFonts w:ascii="Arial" w:hAnsi="Arial" w:cs="Arial"/>
          <w:lang w:val="es-ES"/>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ES"/>
        </w:rPr>
        <w:t>Por la importancia que este instrumento tiene para el trabajo desarrollado por el Instituto Social del MERCOSUR (ISM), este será analizado con mayor profundidad en la siguiente sección.</w:t>
      </w:r>
    </w:p>
  </w:footnote>
  <w:footnote w:id="10">
    <w:p w14:paraId="0AE3D94B" w14:textId="7AD442C9" w:rsidR="0069713C" w:rsidRPr="00A205D0" w:rsidRDefault="0069713C" w:rsidP="00E064B5">
      <w:pPr>
        <w:pStyle w:val="Textonotapie"/>
        <w:jc w:val="both"/>
        <w:rPr>
          <w:rFonts w:ascii="Arial" w:hAnsi="Arial" w:cs="Arial"/>
          <w:lang w:val="es-ES"/>
        </w:rPr>
      </w:pPr>
      <w:r w:rsidRPr="00A205D0">
        <w:rPr>
          <w:rStyle w:val="Refdenotaalpie"/>
          <w:rFonts w:ascii="Arial" w:hAnsi="Arial" w:cs="Arial"/>
        </w:rPr>
        <w:footnoteRef/>
      </w:r>
      <w:r w:rsidRPr="00A205D0">
        <w:rPr>
          <w:rFonts w:ascii="Arial" w:hAnsi="Arial" w:cs="Arial"/>
        </w:rPr>
        <w:t xml:space="preserve"> La Conferencia de El Cairo (1994) hizo hincapié en la relación integral entre la población y el desarrollo y buscó responder a las necesidades de los individuos en lugar de lograr sólo metas demográficas. La adopción de su Programa marcó una nueva concepción sobre cómo integrar efectivamente los temas de población en las propuestas de desarrollo socioeconómico. </w:t>
      </w:r>
    </w:p>
  </w:footnote>
  <w:footnote w:id="11">
    <w:p w14:paraId="3EBBFA44" w14:textId="41D739F2" w:rsidR="00AF7DA3" w:rsidRPr="00A205D0" w:rsidRDefault="00AF7DA3" w:rsidP="00B760CD">
      <w:pPr>
        <w:pStyle w:val="Textonotapie"/>
        <w:jc w:val="both"/>
        <w:rPr>
          <w:rFonts w:ascii="Arial" w:hAnsi="Arial" w:cs="Arial"/>
          <w:lang w:val="es-ES"/>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MX"/>
        </w:rPr>
        <w:t>El ODS 9 marca la evolución del concepto de política industrial en la medida que su objetivo y alcance se han ido ampliando a lo largo de los últimos años. “En términos generales, la política industrial se refiere a la intervención del Estado en la industria para organizar y modificar la estructura y los esquemas de producción” (Padilla y Alvarado, 2014: 15). Pero actualmente, la política industrial no se restringe solo a las medidas dirigidas al sector secundario de la economía, pues abarca también aquellas que apuntan al desarrollo de actividades primarias y servicios. Es por lo que también se usa el concepto de política industrial inclusiva como sinónimo de política de desarrollo productivo. Su impacto depende de la capacidad de diseño, aplicación y evaluación de los formuladores de políticas públicas y del alcance de los instrumentos utilizados para cumplir el objetivo propuesto (Peres y Primi, 2009; Padilla y Alvarado, 2014).</w:t>
      </w:r>
    </w:p>
  </w:footnote>
  <w:footnote w:id="12">
    <w:p w14:paraId="67D973A4" w14:textId="4C36CF70" w:rsidR="0069713C" w:rsidRPr="00A205D0" w:rsidRDefault="0069713C" w:rsidP="00B760CD">
      <w:pPr>
        <w:pStyle w:val="Textonotapie"/>
        <w:jc w:val="both"/>
        <w:rPr>
          <w:rFonts w:ascii="Arial" w:hAnsi="Arial" w:cs="Arial"/>
          <w:lang w:val="es-419"/>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419"/>
        </w:rPr>
        <w:t xml:space="preserve">El estudio del ISM (2018) “Ciudadanía en Zonas de Frontera”, aborda en profundidad está cuestión. </w:t>
      </w:r>
    </w:p>
  </w:footnote>
  <w:footnote w:id="13">
    <w:p w14:paraId="330F87DC" w14:textId="6EB8AA59" w:rsidR="0069713C" w:rsidRPr="00A205D0" w:rsidRDefault="0069713C" w:rsidP="00682488">
      <w:pPr>
        <w:pStyle w:val="Textonotapie"/>
        <w:jc w:val="both"/>
        <w:rPr>
          <w:rFonts w:ascii="Arial" w:hAnsi="Arial" w:cs="Arial"/>
          <w:lang w:val="es-419"/>
        </w:rPr>
      </w:pPr>
      <w:r w:rsidRPr="00A205D0">
        <w:rPr>
          <w:rStyle w:val="Refdenotaalpie"/>
          <w:rFonts w:ascii="Arial" w:hAnsi="Arial" w:cs="Arial"/>
        </w:rPr>
        <w:footnoteRef/>
      </w:r>
      <w:r w:rsidRPr="00A205D0">
        <w:rPr>
          <w:rFonts w:ascii="Arial" w:hAnsi="Arial" w:cs="Arial"/>
        </w:rPr>
        <w:t xml:space="preserve"> </w:t>
      </w:r>
      <w:r w:rsidRPr="00A205D0">
        <w:rPr>
          <w:rFonts w:ascii="Arial" w:hAnsi="Arial" w:cs="Arial"/>
          <w:lang w:val="es-419"/>
        </w:rPr>
        <w:t>Los organismos vinculados a la dimensión social del MERCOSUR y el SI-PEAS está disponible en: http://peas.ismercosur.org/es/portada/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A4B4A"/>
    <w:multiLevelType w:val="hybridMultilevel"/>
    <w:tmpl w:val="22A2284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526F3398"/>
    <w:multiLevelType w:val="hybridMultilevel"/>
    <w:tmpl w:val="E160E30E"/>
    <w:lvl w:ilvl="0" w:tplc="08307A50">
      <w:start w:val="1"/>
      <w:numFmt w:val="lowerRoman"/>
      <w:lvlText w:val="%1)"/>
      <w:lvlJc w:val="left"/>
      <w:pPr>
        <w:ind w:left="720" w:hanging="72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 w15:restartNumberingAfterBreak="0">
    <w:nsid w:val="674E7838"/>
    <w:multiLevelType w:val="hybridMultilevel"/>
    <w:tmpl w:val="92C89214"/>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D0"/>
    <w:rsid w:val="00012C53"/>
    <w:rsid w:val="00026B77"/>
    <w:rsid w:val="00036B4C"/>
    <w:rsid w:val="00064B7C"/>
    <w:rsid w:val="00081FC8"/>
    <w:rsid w:val="00087272"/>
    <w:rsid w:val="000A4FC5"/>
    <w:rsid w:val="000A51A5"/>
    <w:rsid w:val="000B0F35"/>
    <w:rsid w:val="000C6E07"/>
    <w:rsid w:val="000D15DE"/>
    <w:rsid w:val="000D27F6"/>
    <w:rsid w:val="000D3890"/>
    <w:rsid w:val="000E36C5"/>
    <w:rsid w:val="000F0BDB"/>
    <w:rsid w:val="00117645"/>
    <w:rsid w:val="001234E2"/>
    <w:rsid w:val="00123E21"/>
    <w:rsid w:val="001259C9"/>
    <w:rsid w:val="001526EB"/>
    <w:rsid w:val="00165F51"/>
    <w:rsid w:val="00181EC7"/>
    <w:rsid w:val="001B30B5"/>
    <w:rsid w:val="001C1C41"/>
    <w:rsid w:val="001C1D70"/>
    <w:rsid w:val="001D2F4E"/>
    <w:rsid w:val="001D5698"/>
    <w:rsid w:val="001F6336"/>
    <w:rsid w:val="00201D7E"/>
    <w:rsid w:val="0021089F"/>
    <w:rsid w:val="00256FCE"/>
    <w:rsid w:val="00267F21"/>
    <w:rsid w:val="00274779"/>
    <w:rsid w:val="002A180C"/>
    <w:rsid w:val="002A5B8B"/>
    <w:rsid w:val="002B1968"/>
    <w:rsid w:val="002D67B5"/>
    <w:rsid w:val="002E5E87"/>
    <w:rsid w:val="002E61D5"/>
    <w:rsid w:val="002F06D0"/>
    <w:rsid w:val="003016CE"/>
    <w:rsid w:val="00305268"/>
    <w:rsid w:val="0031085D"/>
    <w:rsid w:val="00314479"/>
    <w:rsid w:val="00323406"/>
    <w:rsid w:val="00324FC5"/>
    <w:rsid w:val="003375B2"/>
    <w:rsid w:val="00352C41"/>
    <w:rsid w:val="00354D1F"/>
    <w:rsid w:val="003627AC"/>
    <w:rsid w:val="00364416"/>
    <w:rsid w:val="00364F52"/>
    <w:rsid w:val="003729F1"/>
    <w:rsid w:val="00380CC8"/>
    <w:rsid w:val="003B5E26"/>
    <w:rsid w:val="003C1057"/>
    <w:rsid w:val="003C7520"/>
    <w:rsid w:val="003D5DC7"/>
    <w:rsid w:val="003E1F1E"/>
    <w:rsid w:val="00412C9D"/>
    <w:rsid w:val="004231D5"/>
    <w:rsid w:val="0042743A"/>
    <w:rsid w:val="00431866"/>
    <w:rsid w:val="004371ED"/>
    <w:rsid w:val="00452643"/>
    <w:rsid w:val="004540CD"/>
    <w:rsid w:val="00460E82"/>
    <w:rsid w:val="00472B06"/>
    <w:rsid w:val="00475B3E"/>
    <w:rsid w:val="004859EC"/>
    <w:rsid w:val="00485F11"/>
    <w:rsid w:val="004865DD"/>
    <w:rsid w:val="00486654"/>
    <w:rsid w:val="004A1CE8"/>
    <w:rsid w:val="004C14BF"/>
    <w:rsid w:val="004D4D63"/>
    <w:rsid w:val="004E0649"/>
    <w:rsid w:val="004E719F"/>
    <w:rsid w:val="00500BC7"/>
    <w:rsid w:val="005126A5"/>
    <w:rsid w:val="005201E4"/>
    <w:rsid w:val="005207EE"/>
    <w:rsid w:val="00530D88"/>
    <w:rsid w:val="00536507"/>
    <w:rsid w:val="0054148F"/>
    <w:rsid w:val="005416CB"/>
    <w:rsid w:val="00546758"/>
    <w:rsid w:val="005476FF"/>
    <w:rsid w:val="00577500"/>
    <w:rsid w:val="00590472"/>
    <w:rsid w:val="0059336B"/>
    <w:rsid w:val="00596AC4"/>
    <w:rsid w:val="005B2BF2"/>
    <w:rsid w:val="005C4833"/>
    <w:rsid w:val="005D1F20"/>
    <w:rsid w:val="005E4B8A"/>
    <w:rsid w:val="005F45F4"/>
    <w:rsid w:val="00605D46"/>
    <w:rsid w:val="00614D6A"/>
    <w:rsid w:val="006211C4"/>
    <w:rsid w:val="0062314D"/>
    <w:rsid w:val="006402FF"/>
    <w:rsid w:val="00644A20"/>
    <w:rsid w:val="006707DF"/>
    <w:rsid w:val="00676417"/>
    <w:rsid w:val="00682292"/>
    <w:rsid w:val="00682488"/>
    <w:rsid w:val="00684583"/>
    <w:rsid w:val="0069713C"/>
    <w:rsid w:val="006A19DA"/>
    <w:rsid w:val="006B4C3E"/>
    <w:rsid w:val="006C12B2"/>
    <w:rsid w:val="006C4E31"/>
    <w:rsid w:val="006C74FC"/>
    <w:rsid w:val="006F4516"/>
    <w:rsid w:val="006F4EFC"/>
    <w:rsid w:val="00703DA5"/>
    <w:rsid w:val="007262AB"/>
    <w:rsid w:val="007368D0"/>
    <w:rsid w:val="0074078C"/>
    <w:rsid w:val="00741372"/>
    <w:rsid w:val="00745B9D"/>
    <w:rsid w:val="00747F58"/>
    <w:rsid w:val="00763CBF"/>
    <w:rsid w:val="00764242"/>
    <w:rsid w:val="007651C3"/>
    <w:rsid w:val="0076656B"/>
    <w:rsid w:val="007803CB"/>
    <w:rsid w:val="0078440D"/>
    <w:rsid w:val="0078533C"/>
    <w:rsid w:val="00785C71"/>
    <w:rsid w:val="007A768B"/>
    <w:rsid w:val="007B43DC"/>
    <w:rsid w:val="007C4B1A"/>
    <w:rsid w:val="00811C70"/>
    <w:rsid w:val="00816425"/>
    <w:rsid w:val="008338FF"/>
    <w:rsid w:val="00837391"/>
    <w:rsid w:val="0084214E"/>
    <w:rsid w:val="008564A9"/>
    <w:rsid w:val="00885BF4"/>
    <w:rsid w:val="0089249A"/>
    <w:rsid w:val="00896354"/>
    <w:rsid w:val="008B6758"/>
    <w:rsid w:val="008B719A"/>
    <w:rsid w:val="008D3413"/>
    <w:rsid w:val="008D6045"/>
    <w:rsid w:val="008E6703"/>
    <w:rsid w:val="008F5936"/>
    <w:rsid w:val="00906B9B"/>
    <w:rsid w:val="00907435"/>
    <w:rsid w:val="009155E3"/>
    <w:rsid w:val="00921901"/>
    <w:rsid w:val="009247BC"/>
    <w:rsid w:val="009321C2"/>
    <w:rsid w:val="009560A7"/>
    <w:rsid w:val="00963ABC"/>
    <w:rsid w:val="009651E9"/>
    <w:rsid w:val="0096596A"/>
    <w:rsid w:val="00970D3A"/>
    <w:rsid w:val="00976496"/>
    <w:rsid w:val="00977B3B"/>
    <w:rsid w:val="009A0639"/>
    <w:rsid w:val="009A6030"/>
    <w:rsid w:val="009A777E"/>
    <w:rsid w:val="009A7991"/>
    <w:rsid w:val="009B1F09"/>
    <w:rsid w:val="009C3094"/>
    <w:rsid w:val="009D0490"/>
    <w:rsid w:val="009D7E4C"/>
    <w:rsid w:val="009F3FDD"/>
    <w:rsid w:val="009F65FF"/>
    <w:rsid w:val="00A006C9"/>
    <w:rsid w:val="00A07C2C"/>
    <w:rsid w:val="00A205D0"/>
    <w:rsid w:val="00A86F21"/>
    <w:rsid w:val="00A8717E"/>
    <w:rsid w:val="00AA06A3"/>
    <w:rsid w:val="00AB273A"/>
    <w:rsid w:val="00AB3D11"/>
    <w:rsid w:val="00AD204C"/>
    <w:rsid w:val="00AD575F"/>
    <w:rsid w:val="00AD59F1"/>
    <w:rsid w:val="00AE059D"/>
    <w:rsid w:val="00AE7E73"/>
    <w:rsid w:val="00AF1E26"/>
    <w:rsid w:val="00AF7DA3"/>
    <w:rsid w:val="00B25450"/>
    <w:rsid w:val="00B50C34"/>
    <w:rsid w:val="00B5561E"/>
    <w:rsid w:val="00B760CD"/>
    <w:rsid w:val="00B85CEE"/>
    <w:rsid w:val="00B85FA9"/>
    <w:rsid w:val="00B90A6E"/>
    <w:rsid w:val="00B91A6E"/>
    <w:rsid w:val="00BB4A73"/>
    <w:rsid w:val="00BC1EF8"/>
    <w:rsid w:val="00BD09C8"/>
    <w:rsid w:val="00BD11A2"/>
    <w:rsid w:val="00BD1A57"/>
    <w:rsid w:val="00BD6CCE"/>
    <w:rsid w:val="00BE7774"/>
    <w:rsid w:val="00BF5F4A"/>
    <w:rsid w:val="00C10186"/>
    <w:rsid w:val="00C42AC4"/>
    <w:rsid w:val="00C42CB6"/>
    <w:rsid w:val="00C44D5F"/>
    <w:rsid w:val="00C53B58"/>
    <w:rsid w:val="00C565E8"/>
    <w:rsid w:val="00C638B4"/>
    <w:rsid w:val="00C747CF"/>
    <w:rsid w:val="00C80A4A"/>
    <w:rsid w:val="00C817B6"/>
    <w:rsid w:val="00C83B59"/>
    <w:rsid w:val="00C861DA"/>
    <w:rsid w:val="00C978B2"/>
    <w:rsid w:val="00CC010C"/>
    <w:rsid w:val="00CC34BC"/>
    <w:rsid w:val="00CC6AB4"/>
    <w:rsid w:val="00CE261D"/>
    <w:rsid w:val="00CE784B"/>
    <w:rsid w:val="00D23ED6"/>
    <w:rsid w:val="00D26918"/>
    <w:rsid w:val="00D75B4B"/>
    <w:rsid w:val="00DA03F8"/>
    <w:rsid w:val="00DA30AF"/>
    <w:rsid w:val="00DB4566"/>
    <w:rsid w:val="00DB4BD7"/>
    <w:rsid w:val="00DB4DFA"/>
    <w:rsid w:val="00DC6C4B"/>
    <w:rsid w:val="00DD3AB5"/>
    <w:rsid w:val="00DE64A7"/>
    <w:rsid w:val="00E064B5"/>
    <w:rsid w:val="00E14527"/>
    <w:rsid w:val="00E22F0F"/>
    <w:rsid w:val="00E32E3E"/>
    <w:rsid w:val="00E43237"/>
    <w:rsid w:val="00E43F9D"/>
    <w:rsid w:val="00E53DFE"/>
    <w:rsid w:val="00E6008D"/>
    <w:rsid w:val="00E60B4C"/>
    <w:rsid w:val="00E62ECB"/>
    <w:rsid w:val="00E662A6"/>
    <w:rsid w:val="00E758DE"/>
    <w:rsid w:val="00E8344A"/>
    <w:rsid w:val="00E90079"/>
    <w:rsid w:val="00E97943"/>
    <w:rsid w:val="00EA0483"/>
    <w:rsid w:val="00ED1FDC"/>
    <w:rsid w:val="00ED4084"/>
    <w:rsid w:val="00EF294B"/>
    <w:rsid w:val="00F0100B"/>
    <w:rsid w:val="00F0232B"/>
    <w:rsid w:val="00F023C7"/>
    <w:rsid w:val="00F02639"/>
    <w:rsid w:val="00F034CE"/>
    <w:rsid w:val="00F079B2"/>
    <w:rsid w:val="00F115C0"/>
    <w:rsid w:val="00F11824"/>
    <w:rsid w:val="00F16A88"/>
    <w:rsid w:val="00F22365"/>
    <w:rsid w:val="00F271E0"/>
    <w:rsid w:val="00F31673"/>
    <w:rsid w:val="00F3217E"/>
    <w:rsid w:val="00F34561"/>
    <w:rsid w:val="00F36AF0"/>
    <w:rsid w:val="00F428C8"/>
    <w:rsid w:val="00F446BA"/>
    <w:rsid w:val="00F67216"/>
    <w:rsid w:val="00F96261"/>
    <w:rsid w:val="00FE3290"/>
    <w:rsid w:val="00FF7A27"/>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B5BC8"/>
  <w15:docId w15:val="{93248BB4-EFC2-448E-A139-57D9DA0FD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C3094"/>
    <w:pPr>
      <w:ind w:left="720"/>
      <w:contextualSpacing/>
    </w:pPr>
    <w:rPr>
      <w:rFonts w:eastAsiaTheme="minorEastAsia"/>
      <w:lang w:eastAsia="es-UY"/>
    </w:rPr>
  </w:style>
  <w:style w:type="paragraph" w:styleId="Textonotapie">
    <w:name w:val="footnote text"/>
    <w:basedOn w:val="Normal"/>
    <w:link w:val="TextonotapieCar"/>
    <w:uiPriority w:val="99"/>
    <w:semiHidden/>
    <w:unhideWhenUsed/>
    <w:rsid w:val="009C3094"/>
    <w:pPr>
      <w:spacing w:after="0" w:line="240" w:lineRule="auto"/>
    </w:pPr>
    <w:rPr>
      <w:rFonts w:eastAsiaTheme="minorEastAsia"/>
      <w:sz w:val="20"/>
      <w:szCs w:val="20"/>
      <w:lang w:eastAsia="es-UY"/>
    </w:rPr>
  </w:style>
  <w:style w:type="character" w:customStyle="1" w:styleId="TextonotapieCar">
    <w:name w:val="Texto nota pie Car"/>
    <w:basedOn w:val="Fuentedeprrafopredeter"/>
    <w:link w:val="Textonotapie"/>
    <w:uiPriority w:val="99"/>
    <w:semiHidden/>
    <w:rsid w:val="009C3094"/>
    <w:rPr>
      <w:rFonts w:eastAsiaTheme="minorEastAsia"/>
      <w:sz w:val="20"/>
      <w:szCs w:val="20"/>
      <w:lang w:eastAsia="es-UY"/>
    </w:rPr>
  </w:style>
  <w:style w:type="character" w:styleId="Refdenotaalpie">
    <w:name w:val="footnote reference"/>
    <w:basedOn w:val="Fuentedeprrafopredeter"/>
    <w:uiPriority w:val="99"/>
    <w:semiHidden/>
    <w:unhideWhenUsed/>
    <w:rsid w:val="009C3094"/>
    <w:rPr>
      <w:vertAlign w:val="superscript"/>
    </w:rPr>
  </w:style>
  <w:style w:type="paragraph" w:styleId="Textodeglobo">
    <w:name w:val="Balloon Text"/>
    <w:basedOn w:val="Normal"/>
    <w:link w:val="TextodegloboCar"/>
    <w:uiPriority w:val="99"/>
    <w:semiHidden/>
    <w:unhideWhenUsed/>
    <w:rsid w:val="00DA03F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03F8"/>
    <w:rPr>
      <w:rFonts w:ascii="Tahoma" w:hAnsi="Tahoma" w:cs="Tahoma"/>
      <w:sz w:val="16"/>
      <w:szCs w:val="16"/>
    </w:rPr>
  </w:style>
  <w:style w:type="paragraph" w:styleId="Encabezado">
    <w:name w:val="header"/>
    <w:basedOn w:val="Normal"/>
    <w:link w:val="EncabezadoCar"/>
    <w:uiPriority w:val="99"/>
    <w:unhideWhenUsed/>
    <w:rsid w:val="004A1CE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A1CE8"/>
  </w:style>
  <w:style w:type="paragraph" w:styleId="Piedepgina">
    <w:name w:val="footer"/>
    <w:basedOn w:val="Normal"/>
    <w:link w:val="PiedepginaCar"/>
    <w:uiPriority w:val="99"/>
    <w:unhideWhenUsed/>
    <w:rsid w:val="004A1CE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A1CE8"/>
  </w:style>
  <w:style w:type="character" w:styleId="Hipervnculo">
    <w:name w:val="Hyperlink"/>
    <w:basedOn w:val="Fuentedeprrafopredeter"/>
    <w:uiPriority w:val="99"/>
    <w:unhideWhenUsed/>
    <w:rsid w:val="008B719A"/>
    <w:rPr>
      <w:color w:val="0000FF" w:themeColor="hyperlink"/>
      <w:u w:val="single"/>
    </w:rPr>
  </w:style>
  <w:style w:type="character" w:customStyle="1" w:styleId="UnresolvedMention">
    <w:name w:val="Unresolved Mention"/>
    <w:basedOn w:val="Fuentedeprrafopredeter"/>
    <w:uiPriority w:val="99"/>
    <w:semiHidden/>
    <w:unhideWhenUsed/>
    <w:rsid w:val="00E6008D"/>
    <w:rPr>
      <w:color w:val="605E5C"/>
      <w:shd w:val="clear" w:color="auto" w:fill="E1DFDD"/>
    </w:rPr>
  </w:style>
  <w:style w:type="character" w:styleId="Refdecomentario">
    <w:name w:val="annotation reference"/>
    <w:basedOn w:val="Fuentedeprrafopredeter"/>
    <w:uiPriority w:val="99"/>
    <w:semiHidden/>
    <w:unhideWhenUsed/>
    <w:rsid w:val="00F31673"/>
    <w:rPr>
      <w:sz w:val="16"/>
      <w:szCs w:val="16"/>
    </w:rPr>
  </w:style>
  <w:style w:type="paragraph" w:styleId="Textocomentario">
    <w:name w:val="annotation text"/>
    <w:basedOn w:val="Normal"/>
    <w:link w:val="TextocomentarioCar"/>
    <w:uiPriority w:val="99"/>
    <w:semiHidden/>
    <w:unhideWhenUsed/>
    <w:rsid w:val="00F3167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31673"/>
    <w:rPr>
      <w:sz w:val="20"/>
      <w:szCs w:val="20"/>
    </w:rPr>
  </w:style>
  <w:style w:type="paragraph" w:styleId="Asuntodelcomentario">
    <w:name w:val="annotation subject"/>
    <w:basedOn w:val="Textocomentario"/>
    <w:next w:val="Textocomentario"/>
    <w:link w:val="AsuntodelcomentarioCar"/>
    <w:uiPriority w:val="99"/>
    <w:semiHidden/>
    <w:unhideWhenUsed/>
    <w:rsid w:val="00F31673"/>
    <w:rPr>
      <w:b/>
      <w:bCs/>
    </w:rPr>
  </w:style>
  <w:style w:type="character" w:customStyle="1" w:styleId="AsuntodelcomentarioCar">
    <w:name w:val="Asunto del comentario Car"/>
    <w:basedOn w:val="TextocomentarioCar"/>
    <w:link w:val="Asuntodelcomentario"/>
    <w:uiPriority w:val="99"/>
    <w:semiHidden/>
    <w:rsid w:val="00F31673"/>
    <w:rPr>
      <w:b/>
      <w:bCs/>
      <w:sz w:val="20"/>
      <w:szCs w:val="20"/>
    </w:rPr>
  </w:style>
  <w:style w:type="paragraph" w:styleId="Revisin">
    <w:name w:val="Revision"/>
    <w:hidden/>
    <w:uiPriority w:val="99"/>
    <w:semiHidden/>
    <w:rsid w:val="00AF7D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084492">
      <w:bodyDiv w:val="1"/>
      <w:marLeft w:val="0"/>
      <w:marRight w:val="0"/>
      <w:marTop w:val="0"/>
      <w:marBottom w:val="0"/>
      <w:divBdr>
        <w:top w:val="none" w:sz="0" w:space="0" w:color="auto"/>
        <w:left w:val="none" w:sz="0" w:space="0" w:color="auto"/>
        <w:bottom w:val="none" w:sz="0" w:space="0" w:color="auto"/>
        <w:right w:val="none" w:sz="0" w:space="0" w:color="auto"/>
      </w:divBdr>
    </w:div>
    <w:div w:id="999578988">
      <w:bodyDiv w:val="1"/>
      <w:marLeft w:val="0"/>
      <w:marRight w:val="0"/>
      <w:marTop w:val="0"/>
      <w:marBottom w:val="0"/>
      <w:divBdr>
        <w:top w:val="none" w:sz="0" w:space="0" w:color="auto"/>
        <w:left w:val="none" w:sz="0" w:space="0" w:color="auto"/>
        <w:bottom w:val="none" w:sz="0" w:space="0" w:color="auto"/>
        <w:right w:val="none" w:sz="0" w:space="0" w:color="auto"/>
      </w:divBdr>
    </w:div>
    <w:div w:id="190521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footnotes.xml.rels><?xml version="1.0" encoding="UTF-8" standalone="yes"?>
<Relationships xmlns="http://schemas.openxmlformats.org/package/2006/relationships"><Relationship Id="rId1" Type="http://schemas.openxmlformats.org/officeDocument/2006/relationships/hyperlink" Target="http://www.oas.org/es/sadye/inclusion-social/protocolo-ssv/indicadores.as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D3E6DB3-3BC5-4FBB-BF15-58146694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7636</Words>
  <Characters>42001</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dc:creator>
  <cp:lastModifiedBy>Ruth Navarro</cp:lastModifiedBy>
  <cp:revision>2</cp:revision>
  <cp:lastPrinted>2018-10-30T13:25:00Z</cp:lastPrinted>
  <dcterms:created xsi:type="dcterms:W3CDTF">2018-11-22T22:57:00Z</dcterms:created>
  <dcterms:modified xsi:type="dcterms:W3CDTF">2018-11-22T22:57:00Z</dcterms:modified>
</cp:coreProperties>
</file>