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000001" w14:textId="77777777" w:rsidR="00C3703E" w:rsidRDefault="00077BC5" w:rsidP="009562D1">
      <w:pPr>
        <w:spacing w:line="360" w:lineRule="auto"/>
        <w:jc w:val="center"/>
        <w:rPr>
          <w:rFonts w:ascii="Times New Roman" w:eastAsia="Times New Roman" w:hAnsi="Times New Roman" w:cs="Times New Roman"/>
          <w:i/>
          <w:sz w:val="28"/>
          <w:szCs w:val="28"/>
        </w:rPr>
        <w:pPrChange w:id="0" w:author="Autor">
          <w:pPr>
            <w:jc w:val="center"/>
          </w:pPr>
        </w:pPrChange>
      </w:pPr>
      <w:r>
        <w:rPr>
          <w:rFonts w:ascii="Times New Roman" w:eastAsia="Times New Roman" w:hAnsi="Times New Roman" w:cs="Times New Roman"/>
          <w:b/>
          <w:sz w:val="28"/>
          <w:szCs w:val="28"/>
        </w:rPr>
        <w:t>GÊNERO, DESAFIOS A INTEGRAÇÃO NO MERCOSUL</w:t>
      </w:r>
    </w:p>
    <w:p w14:paraId="00000002" w14:textId="77777777" w:rsidR="00C3703E" w:rsidRDefault="00C3703E" w:rsidP="009562D1">
      <w:pPr>
        <w:spacing w:line="360" w:lineRule="auto"/>
        <w:jc w:val="right"/>
        <w:rPr>
          <w:rFonts w:ascii="Times New Roman" w:eastAsia="Times New Roman" w:hAnsi="Times New Roman" w:cs="Times New Roman"/>
          <w:sz w:val="20"/>
          <w:szCs w:val="20"/>
        </w:rPr>
        <w:pPrChange w:id="1" w:author="Autor">
          <w:pPr>
            <w:jc w:val="right"/>
          </w:pPr>
        </w:pPrChange>
      </w:pPr>
    </w:p>
    <w:p w14:paraId="00000003" w14:textId="77777777" w:rsidR="00C3703E" w:rsidRDefault="00C3703E" w:rsidP="00513177">
      <w:pPr>
        <w:spacing w:line="360" w:lineRule="auto"/>
        <w:jc w:val="right"/>
        <w:rPr>
          <w:rFonts w:ascii="Times New Roman" w:eastAsia="Times New Roman" w:hAnsi="Times New Roman" w:cs="Times New Roman"/>
          <w:sz w:val="24"/>
          <w:szCs w:val="24"/>
        </w:rPr>
      </w:pPr>
    </w:p>
    <w:p w14:paraId="00000004" w14:textId="77777777" w:rsidR="00C3703E" w:rsidRDefault="00077BC5" w:rsidP="009562D1">
      <w:pPr>
        <w:spacing w:line="360" w:lineRule="auto"/>
        <w:jc w:val="both"/>
        <w:rPr>
          <w:rFonts w:ascii="Times New Roman" w:eastAsia="Times New Roman" w:hAnsi="Times New Roman" w:cs="Times New Roman"/>
          <w:sz w:val="24"/>
          <w:szCs w:val="24"/>
        </w:rPr>
        <w:pPrChange w:id="2" w:author="Autor">
          <w:pPr>
            <w:spacing w:line="240" w:lineRule="auto"/>
            <w:jc w:val="both"/>
          </w:pPr>
        </w:pPrChange>
      </w:pPr>
      <w:r>
        <w:rPr>
          <w:rFonts w:ascii="Times New Roman" w:eastAsia="Times New Roman" w:hAnsi="Times New Roman" w:cs="Times New Roman"/>
          <w:b/>
          <w:sz w:val="24"/>
          <w:szCs w:val="24"/>
        </w:rPr>
        <w:t xml:space="preserve">Resumo: </w:t>
      </w:r>
      <w:r>
        <w:rPr>
          <w:rFonts w:ascii="Times New Roman" w:eastAsia="Times New Roman" w:hAnsi="Times New Roman" w:cs="Times New Roman"/>
          <w:sz w:val="24"/>
          <w:szCs w:val="24"/>
        </w:rPr>
        <w:t>O trabalho se propõe a refletir acerca de algumas das múltiplas problemáticas práticas que surgem ao processo de integração do Mercado Comum do Sul (MERCOSUL) quando pensado por uma perspectiva de gênero. A metodologia é a revisão bibliográfica especialmen</w:t>
      </w:r>
      <w:r>
        <w:rPr>
          <w:rFonts w:ascii="Times New Roman" w:eastAsia="Times New Roman" w:hAnsi="Times New Roman" w:cs="Times New Roman"/>
          <w:sz w:val="24"/>
          <w:szCs w:val="24"/>
        </w:rPr>
        <w:t>te de legislações internacionais, tratados de Direitos Humanos e da teoria feminista decolonial de Rita Segato. O objetivo é compreender possíveis desafios apresentados ao MERCOSUL, os avanços e limites do bloco econômico quando este apresenta como fim uma</w:t>
      </w:r>
      <w:r>
        <w:rPr>
          <w:rFonts w:ascii="Times New Roman" w:eastAsia="Times New Roman" w:hAnsi="Times New Roman" w:cs="Times New Roman"/>
          <w:sz w:val="24"/>
          <w:szCs w:val="24"/>
        </w:rPr>
        <w:t xml:space="preserve"> integração profunda entre os países que o compõem. Os resultados esperados são a possibilidade de avanço teórico, cooperando com o desenvolvimento de caminhos possíveis para o fortalecimento do bloco.</w:t>
      </w:r>
    </w:p>
    <w:p w14:paraId="00000005" w14:textId="77777777" w:rsidR="00C3703E" w:rsidRDefault="00C3703E" w:rsidP="009562D1">
      <w:pPr>
        <w:spacing w:line="360" w:lineRule="auto"/>
        <w:jc w:val="both"/>
        <w:rPr>
          <w:rFonts w:ascii="Times New Roman" w:eastAsia="Times New Roman" w:hAnsi="Times New Roman" w:cs="Times New Roman"/>
          <w:sz w:val="24"/>
          <w:szCs w:val="24"/>
        </w:rPr>
        <w:pPrChange w:id="3" w:author="Autor">
          <w:pPr>
            <w:spacing w:line="240" w:lineRule="auto"/>
            <w:jc w:val="both"/>
          </w:pPr>
        </w:pPrChange>
      </w:pPr>
    </w:p>
    <w:p w14:paraId="00000006" w14:textId="77777777" w:rsidR="00C3703E" w:rsidRDefault="00077BC5" w:rsidP="009562D1">
      <w:pPr>
        <w:spacing w:line="360" w:lineRule="auto"/>
        <w:jc w:val="both"/>
        <w:rPr>
          <w:rFonts w:ascii="Times New Roman" w:eastAsia="Times New Roman" w:hAnsi="Times New Roman" w:cs="Times New Roman"/>
          <w:sz w:val="24"/>
          <w:szCs w:val="24"/>
        </w:rPr>
        <w:pPrChange w:id="4" w:author="Autor">
          <w:pPr>
            <w:spacing w:line="240" w:lineRule="auto"/>
            <w:jc w:val="both"/>
          </w:pPr>
        </w:pPrChange>
      </w:pPr>
      <w:r>
        <w:rPr>
          <w:rFonts w:ascii="Times New Roman" w:eastAsia="Times New Roman" w:hAnsi="Times New Roman" w:cs="Times New Roman"/>
          <w:b/>
          <w:sz w:val="24"/>
          <w:szCs w:val="24"/>
        </w:rPr>
        <w:t>Palavra-chave:</w:t>
      </w:r>
      <w:r>
        <w:rPr>
          <w:rFonts w:ascii="Times New Roman" w:eastAsia="Times New Roman" w:hAnsi="Times New Roman" w:cs="Times New Roman"/>
          <w:sz w:val="24"/>
          <w:szCs w:val="24"/>
        </w:rPr>
        <w:t xml:space="preserve"> Gênero. Integração. </w:t>
      </w:r>
      <w:commentRangeStart w:id="5"/>
      <w:commentRangeStart w:id="6"/>
      <w:r>
        <w:rPr>
          <w:rFonts w:ascii="Times New Roman" w:eastAsia="Times New Roman" w:hAnsi="Times New Roman" w:cs="Times New Roman"/>
          <w:sz w:val="24"/>
          <w:szCs w:val="24"/>
        </w:rPr>
        <w:t>MERCOSUL</w:t>
      </w:r>
      <w:commentRangeEnd w:id="5"/>
      <w:r w:rsidR="00265ECA">
        <w:rPr>
          <w:rStyle w:val="Refdecomentrio"/>
        </w:rPr>
        <w:commentReference w:id="5"/>
      </w:r>
      <w:commentRangeEnd w:id="6"/>
      <w:r w:rsidR="00265ECA">
        <w:rPr>
          <w:rStyle w:val="Refdecomentrio"/>
        </w:rPr>
        <w:commentReference w:id="6"/>
      </w:r>
      <w:r>
        <w:rPr>
          <w:rFonts w:ascii="Times New Roman" w:eastAsia="Times New Roman" w:hAnsi="Times New Roman" w:cs="Times New Roman"/>
          <w:sz w:val="24"/>
          <w:szCs w:val="24"/>
        </w:rPr>
        <w:t>.</w:t>
      </w:r>
    </w:p>
    <w:p w14:paraId="00000007" w14:textId="77777777" w:rsidR="00C3703E" w:rsidRDefault="00C3703E" w:rsidP="009562D1">
      <w:pPr>
        <w:spacing w:line="360" w:lineRule="auto"/>
        <w:jc w:val="both"/>
        <w:rPr>
          <w:rFonts w:ascii="Times New Roman" w:eastAsia="Times New Roman" w:hAnsi="Times New Roman" w:cs="Times New Roman"/>
          <w:b/>
          <w:sz w:val="24"/>
          <w:szCs w:val="24"/>
        </w:rPr>
        <w:pPrChange w:id="7" w:author="Autor">
          <w:pPr>
            <w:spacing w:line="240" w:lineRule="auto"/>
            <w:jc w:val="both"/>
          </w:pPr>
        </w:pPrChange>
      </w:pPr>
    </w:p>
    <w:p w14:paraId="00000008" w14:textId="77777777" w:rsidR="00C3703E" w:rsidRDefault="00077BC5" w:rsidP="00513177">
      <w:pPr>
        <w:spacing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1 </w:t>
      </w:r>
      <w:commentRangeStart w:id="8"/>
      <w:r>
        <w:rPr>
          <w:rFonts w:ascii="Times New Roman" w:eastAsia="Times New Roman" w:hAnsi="Times New Roman" w:cs="Times New Roman"/>
          <w:b/>
          <w:sz w:val="24"/>
          <w:szCs w:val="24"/>
        </w:rPr>
        <w:t>INTRO</w:t>
      </w:r>
      <w:r>
        <w:rPr>
          <w:rFonts w:ascii="Times New Roman" w:eastAsia="Times New Roman" w:hAnsi="Times New Roman" w:cs="Times New Roman"/>
          <w:b/>
          <w:sz w:val="24"/>
          <w:szCs w:val="24"/>
        </w:rPr>
        <w:t>DUÇÃO</w:t>
      </w:r>
      <w:commentRangeEnd w:id="8"/>
      <w:r w:rsidR="00265ECA">
        <w:rPr>
          <w:rStyle w:val="Refdecomentrio"/>
        </w:rPr>
        <w:commentReference w:id="8"/>
      </w:r>
    </w:p>
    <w:p w14:paraId="00000009" w14:textId="77777777" w:rsidR="00C3703E" w:rsidRDefault="00077BC5" w:rsidP="009562D1">
      <w:pPr>
        <w:spacing w:line="360" w:lineRule="auto"/>
        <w:jc w:val="both"/>
        <w:rPr>
          <w:rFonts w:ascii="Times New Roman" w:eastAsia="Times New Roman" w:hAnsi="Times New Roman" w:cs="Times New Roman"/>
          <w:sz w:val="24"/>
          <w:szCs w:val="24"/>
        </w:rPr>
        <w:pPrChange w:id="9" w:author="Autor">
          <w:pPr>
            <w:spacing w:line="240" w:lineRule="auto"/>
            <w:jc w:val="both"/>
          </w:pPr>
        </w:pPrChange>
      </w:pPr>
      <w:r>
        <w:rPr>
          <w:rFonts w:ascii="Times New Roman" w:eastAsia="Times New Roman" w:hAnsi="Times New Roman" w:cs="Times New Roman"/>
          <w:sz w:val="24"/>
          <w:szCs w:val="24"/>
        </w:rPr>
        <w:t xml:space="preserve">O desenvolvimento do presente trabalho se divide em três </w:t>
      </w:r>
      <w:r w:rsidRPr="0024410D">
        <w:rPr>
          <w:rFonts w:ascii="Times New Roman" w:eastAsia="Times New Roman" w:hAnsi="Times New Roman" w:cs="Times New Roman"/>
          <w:sz w:val="24"/>
          <w:szCs w:val="24"/>
          <w:highlight w:val="yellow"/>
        </w:rPr>
        <w:t>partes</w:t>
      </w:r>
      <w:r>
        <w:rPr>
          <w:rFonts w:ascii="Times New Roman" w:eastAsia="Times New Roman" w:hAnsi="Times New Roman" w:cs="Times New Roman"/>
          <w:sz w:val="24"/>
          <w:szCs w:val="24"/>
        </w:rPr>
        <w:t xml:space="preserve"> </w:t>
      </w:r>
      <w:r w:rsidRPr="0024410D">
        <w:rPr>
          <w:rFonts w:ascii="Times New Roman" w:eastAsia="Times New Roman" w:hAnsi="Times New Roman" w:cs="Times New Roman"/>
          <w:sz w:val="24"/>
          <w:szCs w:val="24"/>
          <w:highlight w:val="yellow"/>
        </w:rPr>
        <w:t>partes,</w:t>
      </w:r>
      <w:r>
        <w:rPr>
          <w:rFonts w:ascii="Times New Roman" w:eastAsia="Times New Roman" w:hAnsi="Times New Roman" w:cs="Times New Roman"/>
          <w:sz w:val="24"/>
          <w:szCs w:val="24"/>
        </w:rPr>
        <w:t xml:space="preserve"> a primeira busca firmar como base de pressuposto a centralidade do tema gênero ao se pensar a realidade contemporânea, a fim de romper com um ciclo de violência que seria inerent</w:t>
      </w:r>
      <w:r>
        <w:rPr>
          <w:rFonts w:ascii="Times New Roman" w:eastAsia="Times New Roman" w:hAnsi="Times New Roman" w:cs="Times New Roman"/>
          <w:sz w:val="24"/>
          <w:szCs w:val="24"/>
        </w:rPr>
        <w:t xml:space="preserve">e a estruturação da própria sociedade atual. É exposto o trabalho teórico de Rita Segato, antropóloga argentina, feminista, decolonial, por muitos anos docente na Universidade de Brasília no </w:t>
      </w:r>
      <w:commentRangeStart w:id="10"/>
      <w:r>
        <w:rPr>
          <w:rFonts w:ascii="Times New Roman" w:eastAsia="Times New Roman" w:hAnsi="Times New Roman" w:cs="Times New Roman"/>
          <w:sz w:val="24"/>
          <w:szCs w:val="24"/>
        </w:rPr>
        <w:t>Brasil</w:t>
      </w:r>
      <w:commentRangeEnd w:id="10"/>
      <w:r w:rsidR="0024410D">
        <w:rPr>
          <w:rStyle w:val="Refdecomentrio"/>
        </w:rPr>
        <w:commentReference w:id="10"/>
      </w:r>
      <w:r>
        <w:rPr>
          <w:rFonts w:ascii="Times New Roman" w:eastAsia="Times New Roman" w:hAnsi="Times New Roman" w:cs="Times New Roman"/>
          <w:sz w:val="24"/>
          <w:szCs w:val="24"/>
        </w:rPr>
        <w:t>.</w:t>
      </w:r>
    </w:p>
    <w:p w14:paraId="0000000A" w14:textId="77777777" w:rsidR="00C3703E" w:rsidRDefault="00077BC5" w:rsidP="009562D1">
      <w:pPr>
        <w:spacing w:line="360" w:lineRule="auto"/>
        <w:jc w:val="both"/>
        <w:rPr>
          <w:rFonts w:ascii="Times New Roman" w:eastAsia="Times New Roman" w:hAnsi="Times New Roman" w:cs="Times New Roman"/>
          <w:sz w:val="24"/>
          <w:szCs w:val="24"/>
        </w:rPr>
        <w:pPrChange w:id="11" w:author="Autor">
          <w:pPr>
            <w:spacing w:line="240" w:lineRule="auto"/>
            <w:jc w:val="both"/>
          </w:pPr>
        </w:pPrChange>
      </w:pPr>
      <w:r>
        <w:rPr>
          <w:rFonts w:ascii="Times New Roman" w:eastAsia="Times New Roman" w:hAnsi="Times New Roman" w:cs="Times New Roman"/>
          <w:sz w:val="24"/>
          <w:szCs w:val="24"/>
        </w:rPr>
        <w:t>Ao segundo capítulo se articulam diversas legislações e t</w:t>
      </w:r>
      <w:r>
        <w:rPr>
          <w:rFonts w:ascii="Times New Roman" w:eastAsia="Times New Roman" w:hAnsi="Times New Roman" w:cs="Times New Roman"/>
          <w:sz w:val="24"/>
          <w:szCs w:val="24"/>
        </w:rPr>
        <w:t>eorias em especial vinculadas a disciplina de Relações internacionais, com o objetivo de compreender o processo de formação do Sistema Interamericano de Direitos Humanos e consolidar um posicionamento crítico e fortalecedor deste e de seu papel enquanto pr</w:t>
      </w:r>
      <w:r>
        <w:rPr>
          <w:rFonts w:ascii="Times New Roman" w:eastAsia="Times New Roman" w:hAnsi="Times New Roman" w:cs="Times New Roman"/>
          <w:sz w:val="24"/>
          <w:szCs w:val="24"/>
        </w:rPr>
        <w:t>omotor da integração latino-</w:t>
      </w:r>
      <w:commentRangeStart w:id="12"/>
      <w:r>
        <w:rPr>
          <w:rFonts w:ascii="Times New Roman" w:eastAsia="Times New Roman" w:hAnsi="Times New Roman" w:cs="Times New Roman"/>
          <w:sz w:val="24"/>
          <w:szCs w:val="24"/>
        </w:rPr>
        <w:t>americana</w:t>
      </w:r>
      <w:commentRangeEnd w:id="12"/>
      <w:r w:rsidR="0024410D">
        <w:rPr>
          <w:rStyle w:val="Refdecomentrio"/>
        </w:rPr>
        <w:commentReference w:id="12"/>
      </w:r>
      <w:r>
        <w:rPr>
          <w:rFonts w:ascii="Times New Roman" w:eastAsia="Times New Roman" w:hAnsi="Times New Roman" w:cs="Times New Roman"/>
          <w:sz w:val="24"/>
          <w:szCs w:val="24"/>
        </w:rPr>
        <w:t>.</w:t>
      </w:r>
    </w:p>
    <w:p w14:paraId="0000000B" w14:textId="77777777" w:rsidR="00C3703E" w:rsidRDefault="00077BC5" w:rsidP="009562D1">
      <w:pPr>
        <w:spacing w:line="360" w:lineRule="auto"/>
        <w:jc w:val="both"/>
        <w:rPr>
          <w:rFonts w:ascii="Times New Roman" w:eastAsia="Times New Roman" w:hAnsi="Times New Roman" w:cs="Times New Roman"/>
          <w:sz w:val="24"/>
          <w:szCs w:val="24"/>
        </w:rPr>
        <w:pPrChange w:id="13" w:author="Autor">
          <w:pPr>
            <w:spacing w:line="240" w:lineRule="auto"/>
            <w:jc w:val="both"/>
          </w:pPr>
        </w:pPrChange>
      </w:pPr>
      <w:r>
        <w:rPr>
          <w:rFonts w:ascii="Times New Roman" w:eastAsia="Times New Roman" w:hAnsi="Times New Roman" w:cs="Times New Roman"/>
          <w:sz w:val="24"/>
          <w:szCs w:val="24"/>
        </w:rPr>
        <w:t>A terceira e última parte do artigo reflete alguns casos concretos, buscando o encontro entre teorias e prática, casos e exemplos concretos de momentos em que os processos de integração no bloco afetam diretamente suj</w:t>
      </w:r>
      <w:r>
        <w:rPr>
          <w:rFonts w:ascii="Times New Roman" w:eastAsia="Times New Roman" w:hAnsi="Times New Roman" w:cs="Times New Roman"/>
          <w:sz w:val="24"/>
          <w:szCs w:val="24"/>
        </w:rPr>
        <w:t>eitos e seus corpos.</w:t>
      </w:r>
    </w:p>
    <w:p w14:paraId="0000000C" w14:textId="77777777" w:rsidR="00C3703E" w:rsidRDefault="00077BC5" w:rsidP="009562D1">
      <w:pPr>
        <w:spacing w:line="360" w:lineRule="auto"/>
        <w:jc w:val="both"/>
        <w:rPr>
          <w:rFonts w:ascii="Times New Roman" w:eastAsia="Times New Roman" w:hAnsi="Times New Roman" w:cs="Times New Roman"/>
          <w:sz w:val="24"/>
          <w:szCs w:val="24"/>
        </w:rPr>
        <w:pPrChange w:id="14" w:author="Autor">
          <w:pPr>
            <w:spacing w:line="240" w:lineRule="auto"/>
            <w:jc w:val="both"/>
          </w:pPr>
        </w:pPrChange>
      </w:pPr>
      <w:r>
        <w:rPr>
          <w:rFonts w:ascii="Times New Roman" w:eastAsia="Times New Roman" w:hAnsi="Times New Roman" w:cs="Times New Roman"/>
          <w:sz w:val="24"/>
          <w:szCs w:val="24"/>
        </w:rPr>
        <w:t>Por fim, a conclusão aponta para a importância de se ampliar os debates atuais sobre os temas de integração, a centralidade e relevância dos debates de Direitos Humanos e gênero para o fortalecimento do MERCOSUL.</w:t>
      </w:r>
    </w:p>
    <w:p w14:paraId="0000000D" w14:textId="77777777" w:rsidR="00C3703E" w:rsidRDefault="00C3703E" w:rsidP="009562D1">
      <w:pPr>
        <w:spacing w:line="360" w:lineRule="auto"/>
        <w:jc w:val="both"/>
        <w:rPr>
          <w:rFonts w:ascii="Times New Roman" w:eastAsia="Times New Roman" w:hAnsi="Times New Roman" w:cs="Times New Roman"/>
          <w:sz w:val="24"/>
          <w:szCs w:val="24"/>
        </w:rPr>
        <w:pPrChange w:id="15" w:author="Autor">
          <w:pPr>
            <w:spacing w:line="240" w:lineRule="auto"/>
            <w:jc w:val="both"/>
          </w:pPr>
        </w:pPrChange>
      </w:pPr>
    </w:p>
    <w:p w14:paraId="0000000E" w14:textId="77777777" w:rsidR="00C3703E" w:rsidRDefault="00077BC5" w:rsidP="00513177">
      <w:pPr>
        <w:spacing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2 CENTRALIDADE DO GÊN</w:t>
      </w:r>
      <w:r>
        <w:rPr>
          <w:rFonts w:ascii="Times New Roman" w:eastAsia="Times New Roman" w:hAnsi="Times New Roman" w:cs="Times New Roman"/>
          <w:b/>
          <w:sz w:val="24"/>
          <w:szCs w:val="24"/>
        </w:rPr>
        <w:t xml:space="preserve">ERO A PARTIR DE RITA </w:t>
      </w:r>
      <w:commentRangeStart w:id="16"/>
      <w:r>
        <w:rPr>
          <w:rFonts w:ascii="Times New Roman" w:eastAsia="Times New Roman" w:hAnsi="Times New Roman" w:cs="Times New Roman"/>
          <w:b/>
          <w:sz w:val="24"/>
          <w:szCs w:val="24"/>
        </w:rPr>
        <w:t>SEGATO</w:t>
      </w:r>
      <w:commentRangeEnd w:id="16"/>
      <w:r w:rsidR="00265ECA">
        <w:rPr>
          <w:rStyle w:val="Refdecomentrio"/>
        </w:rPr>
        <w:commentReference w:id="16"/>
      </w:r>
    </w:p>
    <w:p w14:paraId="0000000F" w14:textId="77777777" w:rsidR="00C3703E" w:rsidRDefault="00077BC5" w:rsidP="009562D1">
      <w:pPr>
        <w:spacing w:line="360" w:lineRule="auto"/>
        <w:jc w:val="both"/>
        <w:rPr>
          <w:rFonts w:ascii="Times New Roman" w:eastAsia="Times New Roman" w:hAnsi="Times New Roman" w:cs="Times New Roman"/>
          <w:sz w:val="24"/>
          <w:szCs w:val="24"/>
          <w:lang w:val="es-ES"/>
        </w:rPr>
        <w:pPrChange w:id="17" w:author="Autor">
          <w:pPr>
            <w:spacing w:line="240" w:lineRule="auto"/>
            <w:jc w:val="both"/>
          </w:pPr>
        </w:pPrChange>
      </w:pPr>
      <w:r>
        <w:rPr>
          <w:rFonts w:ascii="Times New Roman" w:eastAsia="Times New Roman" w:hAnsi="Times New Roman" w:cs="Times New Roman"/>
          <w:sz w:val="24"/>
          <w:szCs w:val="24"/>
        </w:rPr>
        <w:lastRenderedPageBreak/>
        <w:t>Nenhuma sociedade trataria tão bem suas mulheres como a seus homens, em contrapartida não haveria nenhuma sociedade que não endosse algum tipo de mistificação da mulher e do feminino, prestando culto ao materno, ao feminino virg</w:t>
      </w:r>
      <w:r>
        <w:rPr>
          <w:rFonts w:ascii="Times New Roman" w:eastAsia="Times New Roman" w:hAnsi="Times New Roman" w:cs="Times New Roman"/>
          <w:sz w:val="24"/>
          <w:szCs w:val="24"/>
        </w:rPr>
        <w:t xml:space="preserve">inal, sagrado e deificado ou que não cultive de algum modo alguma das variantes do mito do matriarcado originário, levando Segato (2003, p.3) a concluir que </w:t>
      </w:r>
      <w:r>
        <w:rPr>
          <w:rFonts w:ascii="Times New Roman" w:eastAsia="Times New Roman" w:hAnsi="Times New Roman" w:cs="Times New Roman"/>
          <w:i/>
          <w:sz w:val="24"/>
          <w:szCs w:val="24"/>
        </w:rPr>
        <w:t>“la universalidad de esa fe en una mística femenina es un correlato indisociable del maltrato inscr</w:t>
      </w:r>
      <w:r>
        <w:rPr>
          <w:rFonts w:ascii="Times New Roman" w:eastAsia="Times New Roman" w:hAnsi="Times New Roman" w:cs="Times New Roman"/>
          <w:i/>
          <w:sz w:val="24"/>
          <w:szCs w:val="24"/>
        </w:rPr>
        <w:t>ipto en las estadísticas del PNUD, tratándose, sin duda alguna, de dos caras de la misma moneda”</w:t>
      </w:r>
      <w:r>
        <w:rPr>
          <w:rFonts w:ascii="Times New Roman" w:eastAsia="Times New Roman" w:hAnsi="Times New Roman" w:cs="Times New Roman"/>
          <w:sz w:val="24"/>
          <w:szCs w:val="24"/>
        </w:rPr>
        <w:t xml:space="preserve">, sua tese fala então da violência inerente à própria dinâmica de gênero, praticamente inseparável da estrutura hierárquica desta relação. </w:t>
      </w:r>
      <w:r w:rsidRPr="00A06729">
        <w:rPr>
          <w:rFonts w:ascii="Times New Roman" w:eastAsia="Times New Roman" w:hAnsi="Times New Roman" w:cs="Times New Roman"/>
          <w:sz w:val="24"/>
          <w:szCs w:val="24"/>
          <w:lang w:val="es-ES"/>
        </w:rPr>
        <w:t>Para a autora:</w:t>
      </w:r>
    </w:p>
    <w:p w14:paraId="3606A18D" w14:textId="77777777" w:rsidR="00265ECA" w:rsidRPr="00A06729" w:rsidRDefault="00265ECA" w:rsidP="009562D1">
      <w:pPr>
        <w:spacing w:line="360" w:lineRule="auto"/>
        <w:jc w:val="both"/>
        <w:rPr>
          <w:rFonts w:ascii="Times New Roman" w:eastAsia="Times New Roman" w:hAnsi="Times New Roman" w:cs="Times New Roman"/>
          <w:sz w:val="24"/>
          <w:szCs w:val="24"/>
          <w:lang w:val="es-ES"/>
        </w:rPr>
        <w:pPrChange w:id="18" w:author="Autor">
          <w:pPr>
            <w:spacing w:line="240" w:lineRule="auto"/>
            <w:jc w:val="both"/>
          </w:pPr>
        </w:pPrChange>
      </w:pPr>
    </w:p>
    <w:p w14:paraId="00000010" w14:textId="77777777" w:rsidR="00C3703E" w:rsidRPr="00A06729" w:rsidRDefault="00077BC5" w:rsidP="009562D1">
      <w:pPr>
        <w:spacing w:line="360" w:lineRule="auto"/>
        <w:ind w:left="2267"/>
        <w:jc w:val="both"/>
        <w:rPr>
          <w:rFonts w:ascii="Times New Roman" w:eastAsia="Times New Roman" w:hAnsi="Times New Roman" w:cs="Times New Roman"/>
          <w:sz w:val="20"/>
          <w:szCs w:val="20"/>
          <w:lang w:val="es-ES"/>
        </w:rPr>
        <w:pPrChange w:id="19" w:author="Autor">
          <w:pPr>
            <w:spacing w:line="240" w:lineRule="auto"/>
            <w:ind w:left="2267"/>
            <w:jc w:val="both"/>
          </w:pPr>
        </w:pPrChange>
      </w:pPr>
      <w:r w:rsidRPr="00A06729">
        <w:rPr>
          <w:rFonts w:ascii="Times New Roman" w:eastAsia="Times New Roman" w:hAnsi="Times New Roman" w:cs="Times New Roman"/>
          <w:sz w:val="20"/>
          <w:szCs w:val="20"/>
          <w:lang w:val="es-ES"/>
        </w:rPr>
        <w:t>erradi</w:t>
      </w:r>
      <w:r w:rsidRPr="00A06729">
        <w:rPr>
          <w:rFonts w:ascii="Times New Roman" w:eastAsia="Times New Roman" w:hAnsi="Times New Roman" w:cs="Times New Roman"/>
          <w:sz w:val="20"/>
          <w:szCs w:val="20"/>
          <w:lang w:val="es-ES"/>
        </w:rPr>
        <w:t>car la violencia de género es inseparable de la reforma misma de los afectos constitutivos de las relaciones de género tal como las conocemos y en su aspecto percibido como “normal”. Y esto, infelizmente, no puede modificarse por decreto, con un golpe de t</w:t>
      </w:r>
      <w:r w:rsidRPr="00A06729">
        <w:rPr>
          <w:rFonts w:ascii="Times New Roman" w:eastAsia="Times New Roman" w:hAnsi="Times New Roman" w:cs="Times New Roman"/>
          <w:sz w:val="20"/>
          <w:szCs w:val="20"/>
          <w:lang w:val="es-ES"/>
        </w:rPr>
        <w:t>inta, suscribiendo el contrato de la ley. (...) el trabajo de la conciencia es lento pero indispensable. Es necesario removerlo, instigarlo, trabajar por una reforma de los afectos y de las sensibilidades, por una ética feminista para toda la sociedad (SEG</w:t>
      </w:r>
      <w:r w:rsidRPr="00A06729">
        <w:rPr>
          <w:rFonts w:ascii="Times New Roman" w:eastAsia="Times New Roman" w:hAnsi="Times New Roman" w:cs="Times New Roman"/>
          <w:sz w:val="20"/>
          <w:szCs w:val="20"/>
          <w:lang w:val="es-ES"/>
        </w:rPr>
        <w:t>ATO, 2003, p. 4).</w:t>
      </w:r>
    </w:p>
    <w:p w14:paraId="00000011" w14:textId="77777777" w:rsidR="00C3703E" w:rsidRPr="00A06729" w:rsidRDefault="00C3703E" w:rsidP="009562D1">
      <w:pPr>
        <w:spacing w:line="360" w:lineRule="auto"/>
        <w:ind w:left="2267"/>
        <w:jc w:val="both"/>
        <w:rPr>
          <w:rFonts w:ascii="Times New Roman" w:eastAsia="Times New Roman" w:hAnsi="Times New Roman" w:cs="Times New Roman"/>
          <w:sz w:val="20"/>
          <w:szCs w:val="20"/>
          <w:lang w:val="es-ES"/>
        </w:rPr>
        <w:pPrChange w:id="20" w:author="Autor">
          <w:pPr>
            <w:spacing w:line="240" w:lineRule="auto"/>
            <w:ind w:left="2267"/>
            <w:jc w:val="both"/>
          </w:pPr>
        </w:pPrChange>
      </w:pPr>
    </w:p>
    <w:p w14:paraId="00000012" w14:textId="77777777" w:rsidR="00C3703E" w:rsidRDefault="00077BC5" w:rsidP="009562D1">
      <w:pPr>
        <w:spacing w:line="360" w:lineRule="auto"/>
        <w:jc w:val="both"/>
        <w:rPr>
          <w:rFonts w:ascii="Times New Roman" w:eastAsia="Times New Roman" w:hAnsi="Times New Roman" w:cs="Times New Roman"/>
          <w:sz w:val="24"/>
          <w:szCs w:val="24"/>
        </w:rPr>
        <w:pPrChange w:id="21" w:author="Autor">
          <w:pPr>
            <w:spacing w:line="240" w:lineRule="auto"/>
            <w:jc w:val="both"/>
          </w:pPr>
        </w:pPrChange>
      </w:pPr>
      <w:r>
        <w:rPr>
          <w:rFonts w:ascii="Times New Roman" w:eastAsia="Times New Roman" w:hAnsi="Times New Roman" w:cs="Times New Roman"/>
          <w:sz w:val="24"/>
          <w:szCs w:val="24"/>
        </w:rPr>
        <w:t>A reivindicação será então de uma ética feminista universal, capaz de erradicar a violência inerente ao gênero, constitutiva das relações sociais, isso por se cobrirem de um manto da hierarquização naturalizante, o que seria possível por</w:t>
      </w:r>
      <w:r>
        <w:rPr>
          <w:rFonts w:ascii="Times New Roman" w:eastAsia="Times New Roman" w:hAnsi="Times New Roman" w:cs="Times New Roman"/>
          <w:sz w:val="24"/>
          <w:szCs w:val="24"/>
        </w:rPr>
        <w:t xml:space="preserve"> meio de uma reforma dos afetos </w:t>
      </w:r>
      <w:commentRangeStart w:id="22"/>
      <w:r>
        <w:rPr>
          <w:rFonts w:ascii="Times New Roman" w:eastAsia="Times New Roman" w:hAnsi="Times New Roman" w:cs="Times New Roman"/>
          <w:sz w:val="24"/>
          <w:szCs w:val="24"/>
        </w:rPr>
        <w:t>mesmos</w:t>
      </w:r>
      <w:commentRangeEnd w:id="22"/>
      <w:r w:rsidR="00265ECA">
        <w:rPr>
          <w:rStyle w:val="Refdecomentrio"/>
        </w:rPr>
        <w:commentReference w:id="22"/>
      </w:r>
      <w:r>
        <w:rPr>
          <w:rFonts w:ascii="Times New Roman" w:eastAsia="Times New Roman" w:hAnsi="Times New Roman" w:cs="Times New Roman"/>
          <w:sz w:val="24"/>
          <w:szCs w:val="24"/>
        </w:rPr>
        <w:t>. Seria exatamente essa hierarquização produzida que produziria e reproduziria um mundo violento:</w:t>
      </w:r>
    </w:p>
    <w:p w14:paraId="00000013" w14:textId="77777777" w:rsidR="00C3703E" w:rsidRPr="00A06729" w:rsidRDefault="00077BC5" w:rsidP="009562D1">
      <w:pPr>
        <w:spacing w:after="200" w:line="360" w:lineRule="auto"/>
        <w:ind w:left="2267"/>
        <w:jc w:val="both"/>
        <w:rPr>
          <w:rFonts w:ascii="Times New Roman" w:eastAsia="Times New Roman" w:hAnsi="Times New Roman" w:cs="Times New Roman"/>
          <w:sz w:val="20"/>
          <w:szCs w:val="20"/>
          <w:lang w:val="es-ES"/>
        </w:rPr>
        <w:pPrChange w:id="23" w:author="Autor">
          <w:pPr>
            <w:spacing w:after="200" w:line="240" w:lineRule="auto"/>
            <w:ind w:left="2267"/>
            <w:jc w:val="both"/>
          </w:pPr>
        </w:pPrChange>
      </w:pPr>
      <w:r w:rsidRPr="00A06729">
        <w:rPr>
          <w:rFonts w:ascii="Times New Roman" w:eastAsia="Times New Roman" w:hAnsi="Times New Roman" w:cs="Times New Roman"/>
          <w:sz w:val="20"/>
          <w:szCs w:val="20"/>
          <w:lang w:val="es-ES"/>
        </w:rPr>
        <w:t>Ese efecto violento resulta del mandato moral y moralizador de reducir y aprisionar la mujer en su posición subordinada,</w:t>
      </w:r>
      <w:r w:rsidRPr="00A06729">
        <w:rPr>
          <w:rFonts w:ascii="Times New Roman" w:eastAsia="Times New Roman" w:hAnsi="Times New Roman" w:cs="Times New Roman"/>
          <w:sz w:val="20"/>
          <w:szCs w:val="20"/>
          <w:lang w:val="es-ES"/>
        </w:rPr>
        <w:t xml:space="preserve"> por todos los medios posibles, recurriendo a la violencia sexual, psicológica y física, o manteniendo la violencia estructural del orden social y económico en lo que hoy los especialistas ya están describiendo como la ‘feminización de la pobreza’ (SEGATO,</w:t>
      </w:r>
      <w:r w:rsidRPr="00A06729">
        <w:rPr>
          <w:rFonts w:ascii="Times New Roman" w:eastAsia="Times New Roman" w:hAnsi="Times New Roman" w:cs="Times New Roman"/>
          <w:sz w:val="20"/>
          <w:szCs w:val="20"/>
          <w:lang w:val="es-ES"/>
        </w:rPr>
        <w:t xml:space="preserve"> 2003, p. 15).</w:t>
      </w:r>
    </w:p>
    <w:p w14:paraId="00000014" w14:textId="7F615C30" w:rsidR="00C3703E" w:rsidRDefault="00077BC5" w:rsidP="009562D1">
      <w:pPr>
        <w:spacing w:line="360" w:lineRule="auto"/>
        <w:jc w:val="both"/>
        <w:rPr>
          <w:rFonts w:ascii="Times New Roman" w:eastAsia="Times New Roman" w:hAnsi="Times New Roman" w:cs="Times New Roman"/>
          <w:sz w:val="24"/>
          <w:szCs w:val="24"/>
        </w:rPr>
        <w:pPrChange w:id="24" w:author="Autor">
          <w:pPr>
            <w:spacing w:line="240" w:lineRule="auto"/>
            <w:jc w:val="both"/>
          </w:pPr>
        </w:pPrChange>
      </w:pPr>
      <w:r>
        <w:rPr>
          <w:rFonts w:ascii="Times New Roman" w:eastAsia="Times New Roman" w:hAnsi="Times New Roman" w:cs="Times New Roman"/>
          <w:sz w:val="24"/>
          <w:szCs w:val="24"/>
        </w:rPr>
        <w:t>Gênero e violência estão intrinsecamente relacionados para a autora, sendo a relação entre homens e mulheres, enquanto status relativos de poder e subordinação hierarquizados no espaço global, um sistema que não se produz automática ou natur</w:t>
      </w:r>
      <w:r>
        <w:rPr>
          <w:rFonts w:ascii="Times New Roman" w:eastAsia="Times New Roman" w:hAnsi="Times New Roman" w:cs="Times New Roman"/>
          <w:sz w:val="24"/>
          <w:szCs w:val="24"/>
        </w:rPr>
        <w:t>almente, estando pré-determinado, mas sendo, muito antes, um sistema que se estab</w:t>
      </w:r>
      <w:ins w:id="25" w:author="Autor">
        <w:r w:rsidR="00265ECA">
          <w:rPr>
            <w:rFonts w:ascii="Times New Roman" w:eastAsia="Times New Roman" w:hAnsi="Times New Roman" w:cs="Times New Roman"/>
            <w:sz w:val="24"/>
            <w:szCs w:val="24"/>
          </w:rPr>
          <w:t>e</w:t>
        </w:r>
      </w:ins>
      <w:r>
        <w:rPr>
          <w:rFonts w:ascii="Times New Roman" w:eastAsia="Times New Roman" w:hAnsi="Times New Roman" w:cs="Times New Roman"/>
          <w:sz w:val="24"/>
          <w:szCs w:val="24"/>
        </w:rPr>
        <w:t>lece e reproduz mediante um repetitivo ciclo de violências, que afeta sobremaneira o corpo feminino e feminilizado.</w:t>
      </w:r>
    </w:p>
    <w:p w14:paraId="00000015" w14:textId="77777777" w:rsidR="00C3703E" w:rsidRDefault="00077BC5" w:rsidP="009562D1">
      <w:pPr>
        <w:spacing w:line="360" w:lineRule="auto"/>
        <w:jc w:val="both"/>
        <w:rPr>
          <w:rFonts w:ascii="Times New Roman" w:eastAsia="Times New Roman" w:hAnsi="Times New Roman" w:cs="Times New Roman"/>
          <w:sz w:val="24"/>
          <w:szCs w:val="24"/>
        </w:rPr>
        <w:pPrChange w:id="26" w:author="Autor">
          <w:pPr>
            <w:spacing w:line="240" w:lineRule="auto"/>
            <w:jc w:val="both"/>
          </w:pPr>
        </w:pPrChange>
      </w:pPr>
      <w:r>
        <w:rPr>
          <w:rFonts w:ascii="Times New Roman" w:eastAsia="Times New Roman" w:hAnsi="Times New Roman" w:cs="Times New Roman"/>
          <w:sz w:val="24"/>
          <w:szCs w:val="24"/>
        </w:rPr>
        <w:t xml:space="preserve">O corpo das mulheres em Segato (2003, p. 12) estará sempre </w:t>
      </w:r>
      <w:r>
        <w:rPr>
          <w:rFonts w:ascii="Times New Roman" w:eastAsia="Times New Roman" w:hAnsi="Times New Roman" w:cs="Times New Roman"/>
          <w:sz w:val="24"/>
          <w:szCs w:val="24"/>
        </w:rPr>
        <w:t xml:space="preserve">relacionado a este sistema de status, sendo parte indissociável de uma noção ancestral de território, e por </w:t>
      </w:r>
      <w:r w:rsidRPr="009562D1">
        <w:rPr>
          <w:rFonts w:ascii="Times New Roman" w:eastAsia="Times New Roman" w:hAnsi="Times New Roman" w:cs="Times New Roman"/>
          <w:sz w:val="24"/>
          <w:szCs w:val="24"/>
          <w:highlight w:val="yellow"/>
          <w:rPrChange w:id="27" w:author="Autor">
            <w:rPr>
              <w:rFonts w:ascii="Times New Roman" w:eastAsia="Times New Roman" w:hAnsi="Times New Roman" w:cs="Times New Roman"/>
              <w:sz w:val="24"/>
              <w:szCs w:val="24"/>
            </w:rPr>
          </w:rPrChange>
        </w:rPr>
        <w:t>isso tornam-se o</w:t>
      </w:r>
      <w:r>
        <w:rPr>
          <w:rFonts w:ascii="Times New Roman" w:eastAsia="Times New Roman" w:hAnsi="Times New Roman" w:cs="Times New Roman"/>
          <w:sz w:val="24"/>
          <w:szCs w:val="24"/>
        </w:rPr>
        <w:t xml:space="preserve"> </w:t>
      </w:r>
      <w:commentRangeStart w:id="28"/>
      <w:r>
        <w:rPr>
          <w:rFonts w:ascii="Times New Roman" w:eastAsia="Times New Roman" w:hAnsi="Times New Roman" w:cs="Times New Roman"/>
          <w:sz w:val="24"/>
          <w:szCs w:val="24"/>
        </w:rPr>
        <w:t>alvo</w:t>
      </w:r>
      <w:commentRangeEnd w:id="28"/>
      <w:r w:rsidR="00265ECA">
        <w:rPr>
          <w:rStyle w:val="Refdecomentrio"/>
        </w:rPr>
        <w:commentReference w:id="28"/>
      </w:r>
      <w:r>
        <w:rPr>
          <w:rFonts w:ascii="Times New Roman" w:eastAsia="Times New Roman" w:hAnsi="Times New Roman" w:cs="Times New Roman"/>
          <w:sz w:val="24"/>
          <w:szCs w:val="24"/>
        </w:rPr>
        <w:t xml:space="preserve"> das violações diversas, marcas da ocupação territorial nos cenários de guerra pré-modernas e modernas.</w:t>
      </w:r>
    </w:p>
    <w:p w14:paraId="00000016" w14:textId="385EA6EC" w:rsidR="00C3703E" w:rsidRDefault="00077BC5" w:rsidP="009562D1">
      <w:pPr>
        <w:spacing w:line="360" w:lineRule="auto"/>
        <w:jc w:val="both"/>
        <w:rPr>
          <w:rFonts w:ascii="Times New Roman" w:eastAsia="Times New Roman" w:hAnsi="Times New Roman" w:cs="Times New Roman"/>
          <w:sz w:val="24"/>
          <w:szCs w:val="24"/>
        </w:rPr>
        <w:pPrChange w:id="29" w:author="Autor">
          <w:pPr>
            <w:spacing w:line="240" w:lineRule="auto"/>
            <w:jc w:val="both"/>
          </w:pPr>
        </w:pPrChange>
      </w:pPr>
      <w:r>
        <w:rPr>
          <w:rFonts w:ascii="Times New Roman" w:eastAsia="Times New Roman" w:hAnsi="Times New Roman" w:cs="Times New Roman"/>
          <w:sz w:val="24"/>
          <w:szCs w:val="24"/>
        </w:rPr>
        <w:t>Outro aspecto important</w:t>
      </w:r>
      <w:r>
        <w:rPr>
          <w:rFonts w:ascii="Times New Roman" w:eastAsia="Times New Roman" w:hAnsi="Times New Roman" w:cs="Times New Roman"/>
          <w:sz w:val="24"/>
          <w:szCs w:val="24"/>
        </w:rPr>
        <w:t xml:space="preserve">e do pensamento da antropóloga é a percepção de que estas hierarquias de gênero não seriam </w:t>
      </w:r>
      <w:r w:rsidRPr="009562D1">
        <w:rPr>
          <w:rFonts w:ascii="Times New Roman" w:eastAsia="Times New Roman" w:hAnsi="Times New Roman" w:cs="Times New Roman"/>
          <w:sz w:val="24"/>
          <w:szCs w:val="24"/>
          <w:highlight w:val="yellow"/>
          <w:rPrChange w:id="30" w:author="Autor">
            <w:rPr>
              <w:rFonts w:ascii="Times New Roman" w:eastAsia="Times New Roman" w:hAnsi="Times New Roman" w:cs="Times New Roman"/>
              <w:sz w:val="24"/>
              <w:szCs w:val="24"/>
            </w:rPr>
          </w:rPrChange>
        </w:rPr>
        <w:t xml:space="preserve">invenção exclusivas </w:t>
      </w:r>
      <w:commentRangeStart w:id="31"/>
      <w:r w:rsidRPr="009562D1">
        <w:rPr>
          <w:rFonts w:ascii="Times New Roman" w:eastAsia="Times New Roman" w:hAnsi="Times New Roman" w:cs="Times New Roman"/>
          <w:sz w:val="24"/>
          <w:szCs w:val="24"/>
          <w:highlight w:val="yellow"/>
          <w:rPrChange w:id="32" w:author="Autor">
            <w:rPr>
              <w:rFonts w:ascii="Times New Roman" w:eastAsia="Times New Roman" w:hAnsi="Times New Roman" w:cs="Times New Roman"/>
              <w:sz w:val="24"/>
              <w:szCs w:val="24"/>
            </w:rPr>
          </w:rPrChange>
        </w:rPr>
        <w:t>das</w:t>
      </w:r>
      <w:commentRangeEnd w:id="31"/>
      <w:r w:rsidR="00265ECA">
        <w:rPr>
          <w:rStyle w:val="Refdecomentrio"/>
        </w:rPr>
        <w:commentReference w:id="31"/>
      </w:r>
      <w:r>
        <w:rPr>
          <w:rFonts w:ascii="Times New Roman" w:eastAsia="Times New Roman" w:hAnsi="Times New Roman" w:cs="Times New Roman"/>
          <w:sz w:val="24"/>
          <w:szCs w:val="24"/>
        </w:rPr>
        <w:t xml:space="preserve"> sociedades contemporâneas </w:t>
      </w:r>
      <w:r>
        <w:rPr>
          <w:rFonts w:ascii="Times New Roman" w:eastAsia="Times New Roman" w:hAnsi="Times New Roman" w:cs="Times New Roman"/>
          <w:i/>
          <w:sz w:val="24"/>
          <w:szCs w:val="24"/>
        </w:rPr>
        <w:t>“respaldada por uma grande acumulação de evidências históricas e relatos etnográficos que confirmam, de forma incon</w:t>
      </w:r>
      <w:r>
        <w:rPr>
          <w:rFonts w:ascii="Times New Roman" w:eastAsia="Times New Roman" w:hAnsi="Times New Roman" w:cs="Times New Roman"/>
          <w:i/>
          <w:sz w:val="24"/>
          <w:szCs w:val="24"/>
        </w:rPr>
        <w:t>testável, a existência de nomenclaturas de gênero nas sociedades tribais e afro-americanas”</w:t>
      </w:r>
      <w:r>
        <w:rPr>
          <w:rFonts w:ascii="Times New Roman" w:eastAsia="Times New Roman" w:hAnsi="Times New Roman" w:cs="Times New Roman"/>
          <w:sz w:val="24"/>
          <w:szCs w:val="24"/>
        </w:rPr>
        <w:t xml:space="preserve"> (SEGATO, 2012, p. 116) ela afirma a existência de um patriarcado de baixa intensidade pré-</w:t>
      </w:r>
      <w:commentRangeStart w:id="33"/>
      <w:commentRangeStart w:id="34"/>
      <w:r>
        <w:rPr>
          <w:rFonts w:ascii="Times New Roman" w:eastAsia="Times New Roman" w:hAnsi="Times New Roman" w:cs="Times New Roman"/>
          <w:sz w:val="24"/>
          <w:szCs w:val="24"/>
        </w:rPr>
        <w:t>colonial</w:t>
      </w:r>
      <w:commentRangeEnd w:id="33"/>
      <w:r w:rsidR="00CC4C2B">
        <w:rPr>
          <w:rStyle w:val="Refdecomentrio"/>
        </w:rPr>
        <w:commentReference w:id="33"/>
      </w:r>
      <w:commentRangeEnd w:id="34"/>
      <w:r w:rsidR="00CC4C2B">
        <w:rPr>
          <w:rStyle w:val="Refdecomentrio"/>
        </w:rPr>
        <w:commentReference w:id="34"/>
      </w:r>
      <w:r>
        <w:rPr>
          <w:rFonts w:ascii="Times New Roman" w:eastAsia="Times New Roman" w:hAnsi="Times New Roman" w:cs="Times New Roman"/>
          <w:sz w:val="24"/>
          <w:szCs w:val="24"/>
        </w:rPr>
        <w:t>.</w:t>
      </w:r>
    </w:p>
    <w:p w14:paraId="00000017" w14:textId="77777777" w:rsidR="00C3703E" w:rsidRDefault="00077BC5" w:rsidP="009562D1">
      <w:pPr>
        <w:spacing w:line="360" w:lineRule="auto"/>
        <w:jc w:val="both"/>
        <w:rPr>
          <w:rFonts w:ascii="Times New Roman" w:eastAsia="Times New Roman" w:hAnsi="Times New Roman" w:cs="Times New Roman"/>
          <w:sz w:val="24"/>
          <w:szCs w:val="24"/>
        </w:rPr>
        <w:pPrChange w:id="35" w:author="Autor">
          <w:pPr>
            <w:spacing w:line="240" w:lineRule="auto"/>
            <w:jc w:val="both"/>
          </w:pPr>
        </w:pPrChange>
      </w:pPr>
      <w:r>
        <w:rPr>
          <w:rFonts w:ascii="Times New Roman" w:eastAsia="Times New Roman" w:hAnsi="Times New Roman" w:cs="Times New Roman"/>
          <w:sz w:val="24"/>
          <w:szCs w:val="24"/>
        </w:rPr>
        <w:t xml:space="preserve">Patriarcado aqui, entendido como esse processo violento de construção de uma hierarquia social baseada na atribuição de status sociais desiguais entre homens e mulheres, mal </w:t>
      </w:r>
      <w:commentRangeStart w:id="36"/>
      <w:r>
        <w:rPr>
          <w:rFonts w:ascii="Times New Roman" w:eastAsia="Times New Roman" w:hAnsi="Times New Roman" w:cs="Times New Roman"/>
          <w:sz w:val="24"/>
          <w:szCs w:val="24"/>
        </w:rPr>
        <w:t>original</w:t>
      </w:r>
      <w:commentRangeEnd w:id="36"/>
      <w:r w:rsidR="00CC4C2B">
        <w:rPr>
          <w:rStyle w:val="Refdecomentrio"/>
        </w:rPr>
        <w:commentReference w:id="36"/>
      </w:r>
      <w:r>
        <w:rPr>
          <w:rFonts w:ascii="Times New Roman" w:eastAsia="Times New Roman" w:hAnsi="Times New Roman" w:cs="Times New Roman"/>
          <w:sz w:val="24"/>
          <w:szCs w:val="24"/>
        </w:rPr>
        <w:t>, que se verá potencializado com os processos colonizadores e estabelecime</w:t>
      </w:r>
      <w:r>
        <w:rPr>
          <w:rFonts w:ascii="Times New Roman" w:eastAsia="Times New Roman" w:hAnsi="Times New Roman" w:cs="Times New Roman"/>
          <w:sz w:val="24"/>
          <w:szCs w:val="24"/>
        </w:rPr>
        <w:t xml:space="preserve">nto do Estado moderno, transformado em um patriarcado de alta </w:t>
      </w:r>
      <w:commentRangeStart w:id="37"/>
      <w:r>
        <w:rPr>
          <w:rFonts w:ascii="Times New Roman" w:eastAsia="Times New Roman" w:hAnsi="Times New Roman" w:cs="Times New Roman"/>
          <w:sz w:val="24"/>
          <w:szCs w:val="24"/>
        </w:rPr>
        <w:t>intensidade</w:t>
      </w:r>
      <w:commentRangeEnd w:id="37"/>
      <w:r w:rsidR="00CC4C2B">
        <w:rPr>
          <w:rStyle w:val="Refdecomentrio"/>
        </w:rPr>
        <w:commentReference w:id="37"/>
      </w:r>
      <w:r>
        <w:rPr>
          <w:rFonts w:ascii="Times New Roman" w:eastAsia="Times New Roman" w:hAnsi="Times New Roman" w:cs="Times New Roman"/>
          <w:sz w:val="24"/>
          <w:szCs w:val="24"/>
        </w:rPr>
        <w:t>.</w:t>
      </w:r>
    </w:p>
    <w:p w14:paraId="00000018" w14:textId="77777777" w:rsidR="00C3703E" w:rsidRDefault="00077BC5" w:rsidP="009562D1">
      <w:pPr>
        <w:spacing w:after="200" w:line="360" w:lineRule="auto"/>
        <w:ind w:left="2267"/>
        <w:jc w:val="both"/>
        <w:rPr>
          <w:rFonts w:ascii="Times New Roman" w:eastAsia="Times New Roman" w:hAnsi="Times New Roman" w:cs="Times New Roman"/>
          <w:sz w:val="20"/>
          <w:szCs w:val="20"/>
        </w:rPr>
        <w:pPrChange w:id="38" w:author="Autor">
          <w:pPr>
            <w:spacing w:after="200" w:line="240" w:lineRule="auto"/>
            <w:ind w:left="2267"/>
            <w:jc w:val="both"/>
          </w:pPr>
        </w:pPrChange>
      </w:pPr>
      <w:r>
        <w:rPr>
          <w:rFonts w:ascii="Times New Roman" w:eastAsia="Times New Roman" w:hAnsi="Times New Roman" w:cs="Times New Roman"/>
          <w:sz w:val="20"/>
          <w:szCs w:val="20"/>
        </w:rPr>
        <w:t xml:space="preserve">O confinamento compulsivo do espaço doméstico e das suas habitantes, as mulheres, como resguardo do privado tem consequências terríveis no que respeita à violência que as vitimiza. </w:t>
      </w:r>
      <w:r>
        <w:rPr>
          <w:rFonts w:ascii="Times New Roman" w:eastAsia="Times New Roman" w:hAnsi="Times New Roman" w:cs="Times New Roman"/>
          <w:sz w:val="20"/>
          <w:szCs w:val="20"/>
        </w:rPr>
        <w:t>É indispensável compreender que essas consequências são plenamente modernas e produto da modernidade, recordando que o processo de modernização em permanente expansão é também um processo de colonização em permanente curso. Assim como as características do</w:t>
      </w:r>
      <w:r>
        <w:rPr>
          <w:rFonts w:ascii="Times New Roman" w:eastAsia="Times New Roman" w:hAnsi="Times New Roman" w:cs="Times New Roman"/>
          <w:sz w:val="20"/>
          <w:szCs w:val="20"/>
        </w:rPr>
        <w:t xml:space="preserve"> crime de genocídio são, por sua racionalidade e sistematicidade, originárias dos tempos modernos, os feminicídios, como práticas quase mecânicas de extermínio das mulheres são também uma invenção moderna. É a barbárie da colonial / modernidade mencionada </w:t>
      </w:r>
      <w:r>
        <w:rPr>
          <w:rFonts w:ascii="Times New Roman" w:eastAsia="Times New Roman" w:hAnsi="Times New Roman" w:cs="Times New Roman"/>
          <w:sz w:val="20"/>
          <w:szCs w:val="20"/>
        </w:rPr>
        <w:t xml:space="preserve">anteriormente. Sua impunidade, como tentei argumentar em outro lugar, encontra-se vinculada à privatização do espaço doméstico, como espaço residual, não incluído na esfera das questões maiores, consideradas de interesse público geral (SEGATO, 2012, p. </w:t>
      </w:r>
      <w:commentRangeStart w:id="39"/>
      <w:r>
        <w:rPr>
          <w:rFonts w:ascii="Times New Roman" w:eastAsia="Times New Roman" w:hAnsi="Times New Roman" w:cs="Times New Roman"/>
          <w:sz w:val="20"/>
          <w:szCs w:val="20"/>
        </w:rPr>
        <w:t>121</w:t>
      </w:r>
      <w:commentRangeEnd w:id="39"/>
      <w:r w:rsidR="00CC4C2B">
        <w:rPr>
          <w:rStyle w:val="Refdecomentrio"/>
        </w:rPr>
        <w:commentReference w:id="39"/>
      </w:r>
      <w:r>
        <w:rPr>
          <w:rFonts w:ascii="Times New Roman" w:eastAsia="Times New Roman" w:hAnsi="Times New Roman" w:cs="Times New Roman"/>
          <w:sz w:val="20"/>
          <w:szCs w:val="20"/>
        </w:rPr>
        <w:t>).</w:t>
      </w:r>
    </w:p>
    <w:p w14:paraId="00000019" w14:textId="77777777" w:rsidR="00C3703E" w:rsidRDefault="00077BC5" w:rsidP="009562D1">
      <w:pPr>
        <w:spacing w:line="360" w:lineRule="auto"/>
        <w:jc w:val="both"/>
        <w:rPr>
          <w:rFonts w:ascii="Times New Roman" w:eastAsia="Times New Roman" w:hAnsi="Times New Roman" w:cs="Times New Roman"/>
          <w:sz w:val="24"/>
          <w:szCs w:val="24"/>
        </w:rPr>
        <w:pPrChange w:id="40" w:author="Autor">
          <w:pPr>
            <w:spacing w:line="240" w:lineRule="auto"/>
            <w:jc w:val="both"/>
          </w:pPr>
        </w:pPrChange>
      </w:pPr>
      <w:r>
        <w:rPr>
          <w:rFonts w:ascii="Times New Roman" w:eastAsia="Times New Roman" w:hAnsi="Times New Roman" w:cs="Times New Roman"/>
          <w:sz w:val="24"/>
          <w:szCs w:val="24"/>
        </w:rPr>
        <w:t xml:space="preserve">O processo colonial e o estabelecimento da lógica binária patriarcal moderna </w:t>
      </w:r>
      <w:commentRangeStart w:id="41"/>
      <w:r>
        <w:rPr>
          <w:rFonts w:ascii="Times New Roman" w:eastAsia="Times New Roman" w:hAnsi="Times New Roman" w:cs="Times New Roman"/>
          <w:sz w:val="24"/>
          <w:szCs w:val="24"/>
        </w:rPr>
        <w:t>e</w:t>
      </w:r>
      <w:r w:rsidRPr="00CC4C2B">
        <w:rPr>
          <w:rFonts w:ascii="Times New Roman" w:eastAsia="Times New Roman" w:hAnsi="Times New Roman" w:cs="Times New Roman"/>
          <w:sz w:val="24"/>
          <w:szCs w:val="24"/>
          <w:highlight w:val="yellow"/>
        </w:rPr>
        <w:t>ncerra</w:t>
      </w:r>
      <w:commentRangeEnd w:id="41"/>
      <w:r w:rsidR="00CC4C2B">
        <w:rPr>
          <w:rStyle w:val="Refdecomentrio"/>
        </w:rPr>
        <w:commentReference w:id="41"/>
      </w:r>
      <w:r>
        <w:rPr>
          <w:rFonts w:ascii="Times New Roman" w:eastAsia="Times New Roman" w:hAnsi="Times New Roman" w:cs="Times New Roman"/>
          <w:sz w:val="24"/>
          <w:szCs w:val="24"/>
        </w:rPr>
        <w:t xml:space="preserve"> as possibilidades de trânsitos, e qualquer disponibilidade de circulação pré-colonial à circulação entre as posições/status de gênero pré-coloniais, é nesse processo que o</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“gênero se reveste da matriz heterossexual, à maneira ocidental, e passam a ser necessários os Direitos de proteção contra a homofobia e as políticas de promoção da igualdade e a liberdade sexual”</w:t>
      </w:r>
      <w:r>
        <w:rPr>
          <w:rFonts w:ascii="Times New Roman" w:eastAsia="Times New Roman" w:hAnsi="Times New Roman" w:cs="Times New Roman"/>
          <w:sz w:val="24"/>
          <w:szCs w:val="24"/>
        </w:rPr>
        <w:t xml:space="preserve"> (SEGATO, 2012, p. 125).</w:t>
      </w:r>
    </w:p>
    <w:p w14:paraId="0000001A" w14:textId="77777777" w:rsidR="00C3703E" w:rsidRDefault="00077BC5" w:rsidP="009562D1">
      <w:pPr>
        <w:spacing w:line="360" w:lineRule="auto"/>
        <w:jc w:val="both"/>
        <w:rPr>
          <w:rFonts w:ascii="Times New Roman" w:eastAsia="Times New Roman" w:hAnsi="Times New Roman" w:cs="Times New Roman"/>
          <w:sz w:val="24"/>
          <w:szCs w:val="24"/>
        </w:rPr>
        <w:pPrChange w:id="42" w:author="Autor">
          <w:pPr>
            <w:spacing w:line="240" w:lineRule="auto"/>
            <w:jc w:val="both"/>
          </w:pPr>
        </w:pPrChange>
      </w:pPr>
      <w:r>
        <w:rPr>
          <w:rFonts w:ascii="Times New Roman" w:eastAsia="Times New Roman" w:hAnsi="Times New Roman" w:cs="Times New Roman"/>
          <w:sz w:val="24"/>
          <w:szCs w:val="24"/>
        </w:rPr>
        <w:t>A reivindicação da lei é outra das</w:t>
      </w:r>
      <w:r>
        <w:rPr>
          <w:rFonts w:ascii="Times New Roman" w:eastAsia="Times New Roman" w:hAnsi="Times New Roman" w:cs="Times New Roman"/>
          <w:sz w:val="24"/>
          <w:szCs w:val="24"/>
        </w:rPr>
        <w:t xml:space="preserve"> características importantes no pensamento de Segato (2006, p. 212) que opta por uma visão contratualista da nação, defendendo que a lei deve mediar e administrar a convivência de costumes e comunidades morais distintas, ainda que esta tenha se originada e</w:t>
      </w:r>
      <w:r>
        <w:rPr>
          <w:rFonts w:ascii="Times New Roman" w:eastAsia="Times New Roman" w:hAnsi="Times New Roman" w:cs="Times New Roman"/>
          <w:sz w:val="24"/>
          <w:szCs w:val="24"/>
        </w:rPr>
        <w:t>m um processo de colonização, onde uma etnia dominante acaba por impor seu código às demais etnias, afirma a lei como arena, espaço de múltiplas e tensas contendas e interlocuções.</w:t>
      </w:r>
    </w:p>
    <w:p w14:paraId="0000001B" w14:textId="77777777" w:rsidR="00C3703E" w:rsidRDefault="00077BC5" w:rsidP="009562D1">
      <w:pPr>
        <w:spacing w:after="200" w:line="360" w:lineRule="auto"/>
        <w:ind w:left="2267"/>
        <w:jc w:val="both"/>
        <w:rPr>
          <w:rFonts w:ascii="Times New Roman" w:eastAsia="Times New Roman" w:hAnsi="Times New Roman" w:cs="Times New Roman"/>
          <w:sz w:val="20"/>
          <w:szCs w:val="20"/>
        </w:rPr>
        <w:pPrChange w:id="43" w:author="Autor">
          <w:pPr>
            <w:spacing w:after="200" w:line="240" w:lineRule="auto"/>
            <w:ind w:left="2267"/>
            <w:jc w:val="both"/>
          </w:pPr>
        </w:pPrChange>
      </w:pPr>
      <w:r>
        <w:rPr>
          <w:rFonts w:ascii="Times New Roman" w:eastAsia="Times New Roman" w:hAnsi="Times New Roman" w:cs="Times New Roman"/>
          <w:sz w:val="20"/>
          <w:szCs w:val="20"/>
        </w:rPr>
        <w:t>creio que a lei não é somente produtiva no trabalho dos juízes ao emitir se</w:t>
      </w:r>
      <w:r>
        <w:rPr>
          <w:rFonts w:ascii="Times New Roman" w:eastAsia="Times New Roman" w:hAnsi="Times New Roman" w:cs="Times New Roman"/>
          <w:sz w:val="20"/>
          <w:szCs w:val="20"/>
        </w:rPr>
        <w:t>ntenças. É importante também perceber a importância pedagógica do discurso legal que, por sua simples circulação, é capaz de inaugurar novos estilos de moralidade e desenvolver sensibilidades éticas desconhecidas. (SEGATO, 2006, p. 219)</w:t>
      </w:r>
    </w:p>
    <w:p w14:paraId="0000001C" w14:textId="77777777" w:rsidR="00C3703E" w:rsidRDefault="00077BC5" w:rsidP="009562D1">
      <w:pPr>
        <w:spacing w:line="360" w:lineRule="auto"/>
        <w:jc w:val="both"/>
        <w:rPr>
          <w:rFonts w:ascii="Times New Roman" w:eastAsia="Times New Roman" w:hAnsi="Times New Roman" w:cs="Times New Roman"/>
          <w:sz w:val="24"/>
          <w:szCs w:val="24"/>
        </w:rPr>
        <w:pPrChange w:id="44" w:author="Autor">
          <w:pPr>
            <w:spacing w:line="240" w:lineRule="auto"/>
            <w:jc w:val="both"/>
          </w:pPr>
        </w:pPrChange>
      </w:pPr>
      <w:r>
        <w:rPr>
          <w:rFonts w:ascii="Times New Roman" w:eastAsia="Times New Roman" w:hAnsi="Times New Roman" w:cs="Times New Roman"/>
          <w:sz w:val="24"/>
          <w:szCs w:val="24"/>
        </w:rPr>
        <w:t>A lei é afirmada en</w:t>
      </w:r>
      <w:r>
        <w:rPr>
          <w:rFonts w:ascii="Times New Roman" w:eastAsia="Times New Roman" w:hAnsi="Times New Roman" w:cs="Times New Roman"/>
          <w:sz w:val="24"/>
          <w:szCs w:val="24"/>
        </w:rPr>
        <w:t>tão como esse espaço de luta, ainda que, como já apresentado acima, não último e absoluto, mas um campo simbólico de poder, onde seria possível inscrever as reivindicações revolucionárias dessa nova ética feminista que permitiria a toda a sociedade reivind</w:t>
      </w:r>
      <w:r>
        <w:rPr>
          <w:rFonts w:ascii="Times New Roman" w:eastAsia="Times New Roman" w:hAnsi="Times New Roman" w:cs="Times New Roman"/>
          <w:sz w:val="24"/>
          <w:szCs w:val="24"/>
        </w:rPr>
        <w:t xml:space="preserve">icar o fim do patriarcado e seu ciclo permanente de violência, Segato (2006, p. 224) dialoga com Michel Foucault ao reivindicar esta ética da incomodidade, que afirma como característica imprescindível a um </w:t>
      </w:r>
      <w:commentRangeStart w:id="45"/>
      <w:r>
        <w:rPr>
          <w:rFonts w:ascii="Times New Roman" w:eastAsia="Times New Roman" w:hAnsi="Times New Roman" w:cs="Times New Roman"/>
          <w:sz w:val="24"/>
          <w:szCs w:val="24"/>
        </w:rPr>
        <w:t>etnógrafo</w:t>
      </w:r>
      <w:commentRangeEnd w:id="45"/>
      <w:r w:rsidR="00BC2336">
        <w:rPr>
          <w:rStyle w:val="Refdecomentrio"/>
        </w:rPr>
        <w:commentReference w:id="45"/>
      </w:r>
      <w:r>
        <w:rPr>
          <w:rFonts w:ascii="Times New Roman" w:eastAsia="Times New Roman" w:hAnsi="Times New Roman" w:cs="Times New Roman"/>
          <w:sz w:val="24"/>
          <w:szCs w:val="24"/>
        </w:rPr>
        <w:t>.</w:t>
      </w:r>
    </w:p>
    <w:p w14:paraId="0000001D" w14:textId="77777777" w:rsidR="00C3703E" w:rsidRDefault="00077BC5" w:rsidP="009562D1">
      <w:pPr>
        <w:spacing w:line="360" w:lineRule="auto"/>
        <w:jc w:val="both"/>
        <w:rPr>
          <w:rFonts w:ascii="Times New Roman" w:eastAsia="Times New Roman" w:hAnsi="Times New Roman" w:cs="Times New Roman"/>
          <w:sz w:val="24"/>
          <w:szCs w:val="24"/>
        </w:rPr>
        <w:pPrChange w:id="46" w:author="Autor">
          <w:pPr>
            <w:spacing w:line="240" w:lineRule="auto"/>
            <w:jc w:val="both"/>
          </w:pPr>
        </w:pPrChange>
      </w:pPr>
      <w:r>
        <w:rPr>
          <w:rFonts w:ascii="Times New Roman" w:eastAsia="Times New Roman" w:hAnsi="Times New Roman" w:cs="Times New Roman"/>
          <w:sz w:val="24"/>
          <w:szCs w:val="24"/>
        </w:rPr>
        <w:t>Outros diálogos importante com Foucaul</w:t>
      </w:r>
      <w:r>
        <w:rPr>
          <w:rFonts w:ascii="Times New Roman" w:eastAsia="Times New Roman" w:hAnsi="Times New Roman" w:cs="Times New Roman"/>
          <w:sz w:val="24"/>
          <w:szCs w:val="24"/>
        </w:rPr>
        <w:t>t, serão centrais ao desenvolvimento da teoria proposta por Segato (2013, p. 21-22; 2014, p. 31-38; 2016, p. 37-41, 58, 66-70, 95-108), esse diálogo permite a autora retomar a teorização foucaultiana de temas como poder soberano, território, Estado, govern</w:t>
      </w:r>
      <w:r>
        <w:rPr>
          <w:rFonts w:ascii="Times New Roman" w:eastAsia="Times New Roman" w:hAnsi="Times New Roman" w:cs="Times New Roman"/>
          <w:sz w:val="24"/>
          <w:szCs w:val="24"/>
        </w:rPr>
        <w:t xml:space="preserve">o da população, poder pastoral, microfísica do poder, poder disciplinar, panóptico, e o biopoder exercido por uma </w:t>
      </w:r>
      <w:commentRangeStart w:id="47"/>
      <w:r>
        <w:rPr>
          <w:rFonts w:ascii="Times New Roman" w:eastAsia="Times New Roman" w:hAnsi="Times New Roman" w:cs="Times New Roman"/>
          <w:sz w:val="24"/>
          <w:szCs w:val="24"/>
        </w:rPr>
        <w:t>biopolítica</w:t>
      </w:r>
      <w:commentRangeEnd w:id="47"/>
      <w:r w:rsidR="00BC2336">
        <w:rPr>
          <w:rStyle w:val="Refdecomentrio"/>
        </w:rPr>
        <w:commentReference w:id="47"/>
      </w:r>
      <w:r>
        <w:rPr>
          <w:rFonts w:ascii="Times New Roman" w:eastAsia="Times New Roman" w:hAnsi="Times New Roman" w:cs="Times New Roman"/>
          <w:sz w:val="24"/>
          <w:szCs w:val="24"/>
        </w:rPr>
        <w:t>.</w:t>
      </w:r>
    </w:p>
    <w:p w14:paraId="0000001E" w14:textId="77777777" w:rsidR="00C3703E" w:rsidRDefault="00077BC5" w:rsidP="009562D1">
      <w:pPr>
        <w:spacing w:line="360" w:lineRule="auto"/>
        <w:jc w:val="both"/>
        <w:rPr>
          <w:rFonts w:ascii="Times New Roman" w:eastAsia="Times New Roman" w:hAnsi="Times New Roman" w:cs="Times New Roman"/>
          <w:sz w:val="24"/>
          <w:szCs w:val="24"/>
        </w:rPr>
        <w:pPrChange w:id="48" w:author="Autor">
          <w:pPr>
            <w:spacing w:line="240" w:lineRule="auto"/>
            <w:jc w:val="both"/>
          </w:pPr>
        </w:pPrChange>
      </w:pPr>
      <w:r>
        <w:rPr>
          <w:rFonts w:ascii="Times New Roman" w:eastAsia="Times New Roman" w:hAnsi="Times New Roman" w:cs="Times New Roman"/>
          <w:sz w:val="24"/>
          <w:szCs w:val="24"/>
        </w:rPr>
        <w:t>A partir desse diálogo a autora irá propor, especialmente em suas obras “Las nuevas formas de la guerra y el cuerpo de las mujere</w:t>
      </w:r>
      <w:r>
        <w:rPr>
          <w:rFonts w:ascii="Times New Roman" w:eastAsia="Times New Roman" w:hAnsi="Times New Roman" w:cs="Times New Roman"/>
          <w:sz w:val="24"/>
          <w:szCs w:val="24"/>
        </w:rPr>
        <w:t xml:space="preserve">s” e “La guerra contra las mujeres” que a violência contra a mulher deixou de ser um efeito colateral das guerras entre estados, que emergiram globalmente novas formas de guerra modernas, como resultado de transformações históricas específicas, e nestas a </w:t>
      </w:r>
      <w:r>
        <w:rPr>
          <w:rFonts w:ascii="Times New Roman" w:eastAsia="Times New Roman" w:hAnsi="Times New Roman" w:cs="Times New Roman"/>
          <w:sz w:val="24"/>
          <w:szCs w:val="24"/>
        </w:rPr>
        <w:t>violência contra o corpo feminino e feminilizado se torna um objetivo estratégico, como uma pedagogia da crueldade, capaz de marcar o poder soberano nesses corpos e nas mentes de populações a ele submetidas.</w:t>
      </w:r>
    </w:p>
    <w:p w14:paraId="0000001F" w14:textId="77777777" w:rsidR="00C3703E" w:rsidRDefault="00C3703E" w:rsidP="009562D1">
      <w:pPr>
        <w:spacing w:after="200" w:line="360" w:lineRule="auto"/>
        <w:ind w:left="2267"/>
        <w:jc w:val="both"/>
        <w:rPr>
          <w:rFonts w:ascii="Times New Roman" w:eastAsia="Times New Roman" w:hAnsi="Times New Roman" w:cs="Times New Roman"/>
          <w:sz w:val="20"/>
          <w:szCs w:val="20"/>
        </w:rPr>
        <w:pPrChange w:id="49" w:author="Autor">
          <w:pPr>
            <w:spacing w:after="200" w:line="240" w:lineRule="auto"/>
            <w:ind w:left="2267"/>
            <w:jc w:val="both"/>
          </w:pPr>
        </w:pPrChange>
      </w:pPr>
    </w:p>
    <w:p w14:paraId="00000020" w14:textId="77777777" w:rsidR="00C3703E" w:rsidRPr="00A06729" w:rsidRDefault="00077BC5" w:rsidP="009562D1">
      <w:pPr>
        <w:spacing w:after="200" w:line="360" w:lineRule="auto"/>
        <w:ind w:left="2267"/>
        <w:jc w:val="both"/>
        <w:rPr>
          <w:rFonts w:ascii="Times New Roman" w:eastAsia="Times New Roman" w:hAnsi="Times New Roman" w:cs="Times New Roman"/>
          <w:sz w:val="20"/>
          <w:szCs w:val="20"/>
          <w:lang w:val="es-ES"/>
        </w:rPr>
        <w:pPrChange w:id="50" w:author="Autor">
          <w:pPr>
            <w:spacing w:after="200" w:line="240" w:lineRule="auto"/>
            <w:ind w:left="2267"/>
            <w:jc w:val="both"/>
          </w:pPr>
        </w:pPrChange>
      </w:pPr>
      <w:r w:rsidRPr="00A06729">
        <w:rPr>
          <w:rFonts w:ascii="Times New Roman" w:eastAsia="Times New Roman" w:hAnsi="Times New Roman" w:cs="Times New Roman"/>
          <w:sz w:val="20"/>
          <w:szCs w:val="20"/>
          <w:lang w:val="es-ES"/>
        </w:rPr>
        <w:t>Según Foucault, en la época feudal y la moderni</w:t>
      </w:r>
      <w:r w:rsidRPr="00A06729">
        <w:rPr>
          <w:rFonts w:ascii="Times New Roman" w:eastAsia="Times New Roman" w:hAnsi="Times New Roman" w:cs="Times New Roman"/>
          <w:sz w:val="20"/>
          <w:szCs w:val="20"/>
          <w:lang w:val="es-ES"/>
        </w:rPr>
        <w:t xml:space="preserve">dad temprana la forma de gobierno fue el </w:t>
      </w:r>
      <w:r w:rsidRPr="00A06729">
        <w:rPr>
          <w:rFonts w:ascii="Times New Roman" w:eastAsia="Times New Roman" w:hAnsi="Times New Roman" w:cs="Times New Roman"/>
          <w:i/>
          <w:sz w:val="20"/>
          <w:szCs w:val="20"/>
          <w:lang w:val="es-ES"/>
        </w:rPr>
        <w:t>gobierno de la población</w:t>
      </w:r>
      <w:r w:rsidRPr="00A06729">
        <w:rPr>
          <w:rFonts w:ascii="Times New Roman" w:eastAsia="Times New Roman" w:hAnsi="Times New Roman" w:cs="Times New Roman"/>
          <w:sz w:val="20"/>
          <w:szCs w:val="20"/>
          <w:lang w:val="es-ES"/>
        </w:rPr>
        <w:t>, es decir, de la administración del grupo humano asentado en el territorio. Esa mutación significó un cambio muy profundo en la concepción de la propiedad y la posesión que, ciertamente, deb</w:t>
      </w:r>
      <w:r w:rsidRPr="00A06729">
        <w:rPr>
          <w:rFonts w:ascii="Times New Roman" w:eastAsia="Times New Roman" w:hAnsi="Times New Roman" w:cs="Times New Roman"/>
          <w:sz w:val="20"/>
          <w:szCs w:val="20"/>
          <w:lang w:val="es-ES"/>
        </w:rPr>
        <w:t xml:space="preserve">ido a la contigüidad cognitiva entre cuero de mujer y territorio, resultó en una transformación profunda en las concepciones de género y sexualidad. Lo mismo ocurrió en la fase siguiente. Las </w:t>
      </w:r>
      <w:r w:rsidRPr="00A06729">
        <w:rPr>
          <w:rFonts w:ascii="Times New Roman" w:eastAsia="Times New Roman" w:hAnsi="Times New Roman" w:cs="Times New Roman"/>
          <w:i/>
          <w:sz w:val="20"/>
          <w:szCs w:val="20"/>
          <w:lang w:val="es-ES"/>
        </w:rPr>
        <w:t>técnicas disciplinaris</w:t>
      </w:r>
      <w:r w:rsidRPr="00A06729">
        <w:rPr>
          <w:rFonts w:ascii="Times New Roman" w:eastAsia="Times New Roman" w:hAnsi="Times New Roman" w:cs="Times New Roman"/>
          <w:sz w:val="20"/>
          <w:szCs w:val="20"/>
          <w:lang w:val="es-ES"/>
        </w:rPr>
        <w:t xml:space="preserve"> y la exhibición ejemplar del castigo, sit</w:t>
      </w:r>
      <w:r w:rsidRPr="00A06729">
        <w:rPr>
          <w:rFonts w:ascii="Times New Roman" w:eastAsia="Times New Roman" w:hAnsi="Times New Roman" w:cs="Times New Roman"/>
          <w:sz w:val="20"/>
          <w:szCs w:val="20"/>
          <w:lang w:val="es-ES"/>
        </w:rPr>
        <w:t xml:space="preserve">uadas por Foucault en </w:t>
      </w:r>
      <w:commentRangeStart w:id="51"/>
      <w:r w:rsidRPr="00A06729">
        <w:rPr>
          <w:rFonts w:ascii="Times New Roman" w:eastAsia="Times New Roman" w:hAnsi="Times New Roman" w:cs="Times New Roman"/>
          <w:sz w:val="20"/>
          <w:szCs w:val="20"/>
          <w:lang w:val="es-ES"/>
        </w:rPr>
        <w:t>los</w:t>
      </w:r>
      <w:commentRangeEnd w:id="51"/>
      <w:r w:rsidR="00513177">
        <w:rPr>
          <w:rStyle w:val="Refdecomentrio"/>
        </w:rPr>
        <w:commentReference w:id="51"/>
      </w:r>
      <w:r w:rsidRPr="00A06729">
        <w:rPr>
          <w:rFonts w:ascii="Times New Roman" w:eastAsia="Times New Roman" w:hAnsi="Times New Roman" w:cs="Times New Roman"/>
          <w:sz w:val="20"/>
          <w:szCs w:val="20"/>
          <w:lang w:val="es-ES"/>
        </w:rPr>
        <w:t xml:space="preserve"> siglos XVIII y XIX, dieron paso a la </w:t>
      </w:r>
      <w:r w:rsidRPr="00A06729">
        <w:rPr>
          <w:rFonts w:ascii="Times New Roman" w:eastAsia="Times New Roman" w:hAnsi="Times New Roman" w:cs="Times New Roman"/>
          <w:i/>
          <w:sz w:val="20"/>
          <w:szCs w:val="20"/>
          <w:lang w:val="es-ES"/>
        </w:rPr>
        <w:t>socidad de control</w:t>
      </w:r>
      <w:r w:rsidRPr="00A06729">
        <w:rPr>
          <w:rFonts w:ascii="Times New Roman" w:eastAsia="Times New Roman" w:hAnsi="Times New Roman" w:cs="Times New Roman"/>
          <w:sz w:val="20"/>
          <w:szCs w:val="20"/>
          <w:lang w:val="es-ES"/>
        </w:rPr>
        <w:t xml:space="preserve"> en el siglo XX. El ejercicio del </w:t>
      </w:r>
      <w:r w:rsidRPr="00A06729">
        <w:rPr>
          <w:rFonts w:ascii="Times New Roman" w:eastAsia="Times New Roman" w:hAnsi="Times New Roman" w:cs="Times New Roman"/>
          <w:i/>
          <w:sz w:val="20"/>
          <w:szCs w:val="20"/>
          <w:lang w:val="es-ES"/>
        </w:rPr>
        <w:t>poder pastoral</w:t>
      </w:r>
      <w:r w:rsidRPr="00A06729">
        <w:rPr>
          <w:rFonts w:ascii="Times New Roman" w:eastAsia="Times New Roman" w:hAnsi="Times New Roman" w:cs="Times New Roman"/>
          <w:sz w:val="20"/>
          <w:szCs w:val="20"/>
          <w:lang w:val="es-ES"/>
        </w:rPr>
        <w:t xml:space="preserve"> fue un elemento crucial en esta transformación. </w:t>
      </w:r>
      <w:r w:rsidRPr="0024410D">
        <w:rPr>
          <w:rFonts w:ascii="Times New Roman" w:eastAsia="Times New Roman" w:hAnsi="Times New Roman" w:cs="Times New Roman"/>
          <w:sz w:val="20"/>
          <w:szCs w:val="20"/>
          <w:lang w:val="es-ES"/>
        </w:rPr>
        <w:t>(...) La progresión de las modalidades de gobierno todavía continúa hasta un e</w:t>
      </w:r>
      <w:r w:rsidRPr="0024410D">
        <w:rPr>
          <w:rFonts w:ascii="Times New Roman" w:eastAsia="Times New Roman" w:hAnsi="Times New Roman" w:cs="Times New Roman"/>
          <w:sz w:val="20"/>
          <w:szCs w:val="20"/>
          <w:lang w:val="es-ES"/>
        </w:rPr>
        <w:t xml:space="preserve">stadio final del control de la sociedad: el del poder como </w:t>
      </w:r>
      <w:r w:rsidRPr="0024410D">
        <w:rPr>
          <w:rFonts w:ascii="Times New Roman" w:eastAsia="Times New Roman" w:hAnsi="Times New Roman" w:cs="Times New Roman"/>
          <w:i/>
          <w:sz w:val="20"/>
          <w:szCs w:val="20"/>
          <w:lang w:val="es-ES"/>
        </w:rPr>
        <w:t>bio-poder</w:t>
      </w:r>
      <w:r w:rsidRPr="0024410D">
        <w:rPr>
          <w:rFonts w:ascii="Times New Roman" w:eastAsia="Times New Roman" w:hAnsi="Times New Roman" w:cs="Times New Roman"/>
          <w:sz w:val="20"/>
          <w:szCs w:val="20"/>
          <w:lang w:val="es-ES"/>
        </w:rPr>
        <w:t xml:space="preserve">, ejercido a través de la </w:t>
      </w:r>
      <w:r w:rsidRPr="0024410D">
        <w:rPr>
          <w:rFonts w:ascii="Times New Roman" w:eastAsia="Times New Roman" w:hAnsi="Times New Roman" w:cs="Times New Roman"/>
          <w:i/>
          <w:sz w:val="20"/>
          <w:szCs w:val="20"/>
          <w:lang w:val="es-ES"/>
        </w:rPr>
        <w:t>bio-política</w:t>
      </w:r>
      <w:r w:rsidRPr="0024410D">
        <w:rPr>
          <w:rFonts w:ascii="Times New Roman" w:eastAsia="Times New Roman" w:hAnsi="Times New Roman" w:cs="Times New Roman"/>
          <w:sz w:val="20"/>
          <w:szCs w:val="20"/>
          <w:lang w:val="es-ES"/>
        </w:rPr>
        <w:t xml:space="preserve">, con su correspondiente tipo de gobierno, esto es, el gobierno de la gente como seres biológicos por medio de la gestión de sus cuerpos. </w:t>
      </w:r>
      <w:r w:rsidRPr="00A06729">
        <w:rPr>
          <w:rFonts w:ascii="Times New Roman" w:eastAsia="Times New Roman" w:hAnsi="Times New Roman" w:cs="Times New Roman"/>
          <w:sz w:val="20"/>
          <w:szCs w:val="20"/>
          <w:lang w:val="es-ES"/>
        </w:rPr>
        <w:t>Políticas qu</w:t>
      </w:r>
      <w:r w:rsidRPr="00A06729">
        <w:rPr>
          <w:rFonts w:ascii="Times New Roman" w:eastAsia="Times New Roman" w:hAnsi="Times New Roman" w:cs="Times New Roman"/>
          <w:sz w:val="20"/>
          <w:szCs w:val="20"/>
          <w:lang w:val="es-ES"/>
        </w:rPr>
        <w:t>e, en esta fase, son referidas a cuerpos (Foucault, 1997, 2004a and 2004b). He defendido anteriormente que, en lo que respecta al gobierno y sus objetos de gestión, estamos hoy frente a la lenta emergencia de un tercer momento en el que Estados compiten co</w:t>
      </w:r>
      <w:r w:rsidRPr="00A06729">
        <w:rPr>
          <w:rFonts w:ascii="Times New Roman" w:eastAsia="Times New Roman" w:hAnsi="Times New Roman" w:cs="Times New Roman"/>
          <w:sz w:val="20"/>
          <w:szCs w:val="20"/>
          <w:lang w:val="es-ES"/>
        </w:rPr>
        <w:t xml:space="preserve">n agencias no-estatales, ambos ejerciendo su control sobre la población por medio de la </w:t>
      </w:r>
      <w:r w:rsidRPr="00A06729">
        <w:rPr>
          <w:rFonts w:ascii="Times New Roman" w:eastAsia="Times New Roman" w:hAnsi="Times New Roman" w:cs="Times New Roman"/>
          <w:i/>
          <w:sz w:val="20"/>
          <w:szCs w:val="20"/>
          <w:lang w:val="es-ES"/>
        </w:rPr>
        <w:t>técnica pastoral</w:t>
      </w:r>
      <w:r w:rsidRPr="00A06729">
        <w:rPr>
          <w:rFonts w:ascii="Times New Roman" w:eastAsia="Times New Roman" w:hAnsi="Times New Roman" w:cs="Times New Roman"/>
          <w:sz w:val="20"/>
          <w:szCs w:val="20"/>
          <w:lang w:val="es-ES"/>
        </w:rPr>
        <w:t>, es decir, como rebaños (SEGATO, 2014, p. 31-32; 2016, p. 66).</w:t>
      </w:r>
    </w:p>
    <w:p w14:paraId="00000021" w14:textId="77777777" w:rsidR="00C3703E" w:rsidRDefault="00077BC5" w:rsidP="009562D1">
      <w:pPr>
        <w:spacing w:line="360" w:lineRule="auto"/>
        <w:jc w:val="both"/>
        <w:rPr>
          <w:rFonts w:ascii="Times New Roman" w:eastAsia="Times New Roman" w:hAnsi="Times New Roman" w:cs="Times New Roman"/>
          <w:sz w:val="24"/>
          <w:szCs w:val="24"/>
        </w:rPr>
        <w:pPrChange w:id="52" w:author="Autor">
          <w:pPr>
            <w:spacing w:line="240" w:lineRule="auto"/>
            <w:jc w:val="both"/>
          </w:pPr>
        </w:pPrChange>
      </w:pPr>
      <w:r>
        <w:rPr>
          <w:rFonts w:ascii="Times New Roman" w:eastAsia="Times New Roman" w:hAnsi="Times New Roman" w:cs="Times New Roman"/>
          <w:sz w:val="24"/>
          <w:szCs w:val="24"/>
        </w:rPr>
        <w:t>O que propõe a autora é então uma nova etapa, uma terceira evolução, se Foucault argumen</w:t>
      </w:r>
      <w:r>
        <w:rPr>
          <w:rFonts w:ascii="Times New Roman" w:eastAsia="Times New Roman" w:hAnsi="Times New Roman" w:cs="Times New Roman"/>
          <w:sz w:val="24"/>
          <w:szCs w:val="24"/>
        </w:rPr>
        <w:t>ta que teríamos tido uma fase de poder soberano, seguida de uma sociedade de controle baseada em uma biopolítica, o cenário de informalidade das guerras contemporâneas, o fortalecimento de um segundo estado mafioso e de forças para estatais, como corporaçõ</w:t>
      </w:r>
      <w:r>
        <w:rPr>
          <w:rFonts w:ascii="Times New Roman" w:eastAsia="Times New Roman" w:hAnsi="Times New Roman" w:cs="Times New Roman"/>
          <w:sz w:val="24"/>
          <w:szCs w:val="24"/>
        </w:rPr>
        <w:t>es armadas empresariais, bem como a perda progressiva de poder, de capital econômico e do controle sobre a economia global pela potência imperial moderna, os Estados Unidos, daria início a esta fase apocalíptica do capitalismo patriarcal moderno, onde a gu</w:t>
      </w:r>
      <w:r>
        <w:rPr>
          <w:rFonts w:ascii="Times New Roman" w:eastAsia="Times New Roman" w:hAnsi="Times New Roman" w:cs="Times New Roman"/>
          <w:sz w:val="24"/>
          <w:szCs w:val="24"/>
        </w:rPr>
        <w:t>erra é generalizada como última forma de manutenção das estruturas de poder.</w:t>
      </w:r>
    </w:p>
    <w:p w14:paraId="00000023" w14:textId="77777777" w:rsidR="00C3703E" w:rsidRPr="00A06729" w:rsidRDefault="00077BC5" w:rsidP="009562D1">
      <w:pPr>
        <w:spacing w:after="200" w:line="360" w:lineRule="auto"/>
        <w:ind w:left="2267"/>
        <w:jc w:val="both"/>
        <w:rPr>
          <w:rFonts w:ascii="Times New Roman" w:eastAsia="Times New Roman" w:hAnsi="Times New Roman" w:cs="Times New Roman"/>
          <w:sz w:val="20"/>
          <w:szCs w:val="20"/>
          <w:lang w:val="es-ES"/>
        </w:rPr>
        <w:pPrChange w:id="53" w:author="Autor">
          <w:pPr>
            <w:spacing w:after="200" w:line="240" w:lineRule="auto"/>
            <w:ind w:left="2267"/>
            <w:jc w:val="both"/>
          </w:pPr>
        </w:pPrChange>
      </w:pPr>
      <w:r w:rsidRPr="00A06729">
        <w:rPr>
          <w:rFonts w:ascii="Times New Roman" w:eastAsia="Times New Roman" w:hAnsi="Times New Roman" w:cs="Times New Roman"/>
          <w:sz w:val="20"/>
          <w:szCs w:val="20"/>
          <w:lang w:val="es-ES"/>
        </w:rPr>
        <w:t>La violencia patriarcal, es decir, la violencia misógina y homofóbica de esta plena modernidad tardía —nuestra era de los derechos humanos y de la ONU— se revela precisamente com</w:t>
      </w:r>
      <w:r w:rsidRPr="00A06729">
        <w:rPr>
          <w:rFonts w:ascii="Times New Roman" w:eastAsia="Times New Roman" w:hAnsi="Times New Roman" w:cs="Times New Roman"/>
          <w:sz w:val="20"/>
          <w:szCs w:val="20"/>
          <w:lang w:val="es-ES"/>
        </w:rPr>
        <w:t xml:space="preserve">o síntoma, al expandirse sin freno a pesar de las grandes victorias obtenidas en el campo de la letra, porque en ella se expresa de manera perfecta, con grafía impecable y claramente legible el arbitrio creciente de un mundo marcado por la «dueñidad», una </w:t>
      </w:r>
      <w:r w:rsidRPr="00A06729">
        <w:rPr>
          <w:rFonts w:ascii="Times New Roman" w:eastAsia="Times New Roman" w:hAnsi="Times New Roman" w:cs="Times New Roman"/>
          <w:sz w:val="20"/>
          <w:szCs w:val="20"/>
          <w:lang w:val="es-ES"/>
        </w:rPr>
        <w:t xml:space="preserve">nueva forma de señorío resultante de la aceleración de la concentración y de la expansión de una esfera de control de la vida que describo sin dudarlo como paraestatal, (...). En esos crímenes [de género], el capital, en su forma contemporánea, expresa la </w:t>
      </w:r>
      <w:r w:rsidRPr="00A06729">
        <w:rPr>
          <w:rFonts w:ascii="Times New Roman" w:eastAsia="Times New Roman" w:hAnsi="Times New Roman" w:cs="Times New Roman"/>
          <w:sz w:val="20"/>
          <w:szCs w:val="20"/>
          <w:lang w:val="es-ES"/>
        </w:rPr>
        <w:t>existencia de un orden regido por el arbitrio, exhibiendo el espectáculo de la posibilidad de una existencia sin gramática institucional o, en otras palabras, de falencia institucional inevitable ante niveles de concentración de riqueza sin precedentes (SE</w:t>
      </w:r>
      <w:r w:rsidRPr="00A06729">
        <w:rPr>
          <w:rFonts w:ascii="Times New Roman" w:eastAsia="Times New Roman" w:hAnsi="Times New Roman" w:cs="Times New Roman"/>
          <w:sz w:val="20"/>
          <w:szCs w:val="20"/>
          <w:lang w:val="es-ES"/>
        </w:rPr>
        <w:t>GATO, 2016, p. 17).</w:t>
      </w:r>
    </w:p>
    <w:p w14:paraId="00000024" w14:textId="77777777" w:rsidR="00C3703E" w:rsidRDefault="00077BC5" w:rsidP="009562D1">
      <w:pPr>
        <w:spacing w:line="360" w:lineRule="auto"/>
        <w:jc w:val="both"/>
        <w:rPr>
          <w:rFonts w:ascii="Times New Roman" w:eastAsia="Times New Roman" w:hAnsi="Times New Roman" w:cs="Times New Roman"/>
          <w:sz w:val="24"/>
          <w:szCs w:val="24"/>
        </w:rPr>
        <w:pPrChange w:id="54" w:author="Autor">
          <w:pPr>
            <w:spacing w:line="240" w:lineRule="auto"/>
            <w:jc w:val="both"/>
          </w:pPr>
        </w:pPrChange>
      </w:pPr>
      <w:r>
        <w:rPr>
          <w:rFonts w:ascii="Times New Roman" w:eastAsia="Times New Roman" w:hAnsi="Times New Roman" w:cs="Times New Roman"/>
          <w:sz w:val="24"/>
          <w:szCs w:val="24"/>
        </w:rPr>
        <w:t xml:space="preserve">Se vê então a denúncia de que o pilar e a pedagogia de todo poder da modernidade, que justifica a desigualdade e acumulação de capital na mão de poucos é o patriarcado, produzido e reafirmado cotidianamente por meio de uma pedagogia da </w:t>
      </w:r>
      <w:r>
        <w:rPr>
          <w:rFonts w:ascii="Times New Roman" w:eastAsia="Times New Roman" w:hAnsi="Times New Roman" w:cs="Times New Roman"/>
          <w:sz w:val="24"/>
          <w:szCs w:val="24"/>
        </w:rPr>
        <w:t>crueldade, o que lhe permite postular o termo femigenocidio, enquanto violência perpetrada sistematicamente sobre os corpos femininos e feminilizados, de modo a ameaçar a própria democracia representativa.</w:t>
      </w:r>
    </w:p>
    <w:p w14:paraId="00000025" w14:textId="77777777" w:rsidR="00C3703E" w:rsidRDefault="00077BC5" w:rsidP="009562D1">
      <w:pPr>
        <w:spacing w:line="360" w:lineRule="auto"/>
        <w:jc w:val="both"/>
        <w:rPr>
          <w:rFonts w:ascii="Times New Roman" w:eastAsia="Times New Roman" w:hAnsi="Times New Roman" w:cs="Times New Roman"/>
          <w:sz w:val="24"/>
          <w:szCs w:val="24"/>
        </w:rPr>
        <w:pPrChange w:id="55" w:author="Autor">
          <w:pPr>
            <w:spacing w:line="240" w:lineRule="auto"/>
            <w:jc w:val="both"/>
          </w:pPr>
        </w:pPrChange>
      </w:pPr>
      <w:r>
        <w:rPr>
          <w:rFonts w:ascii="Times New Roman" w:eastAsia="Times New Roman" w:hAnsi="Times New Roman" w:cs="Times New Roman"/>
          <w:sz w:val="24"/>
          <w:szCs w:val="24"/>
        </w:rPr>
        <w:t>Segato (2014, p. 71) reivindica a partir de sua pe</w:t>
      </w:r>
      <w:r>
        <w:rPr>
          <w:rFonts w:ascii="Times New Roman" w:eastAsia="Times New Roman" w:hAnsi="Times New Roman" w:cs="Times New Roman"/>
          <w:sz w:val="24"/>
          <w:szCs w:val="24"/>
        </w:rPr>
        <w:t>squisa a introdução de uma retórica jurídica e na consciência da opinião pública da centralidade e do significado das novas formas de vitimização do corpo feminino e feminilizado, denunciando um cenário bélico informal e em expansão, operando com métodos m</w:t>
      </w:r>
      <w:r>
        <w:rPr>
          <w:rFonts w:ascii="Times New Roman" w:eastAsia="Times New Roman" w:hAnsi="Times New Roman" w:cs="Times New Roman"/>
          <w:sz w:val="24"/>
          <w:szCs w:val="24"/>
        </w:rPr>
        <w:t>afiosos, configurando um universo para estatal de controle e captura progressiva da vida social e da política, é preciso assim:</w:t>
      </w:r>
    </w:p>
    <w:p w14:paraId="02240BC8" w14:textId="77777777" w:rsidR="00513177" w:rsidRDefault="00513177" w:rsidP="009562D1">
      <w:pPr>
        <w:spacing w:after="200" w:line="360" w:lineRule="auto"/>
        <w:ind w:left="2267"/>
        <w:jc w:val="both"/>
        <w:rPr>
          <w:ins w:id="56" w:author="Autor"/>
          <w:rFonts w:ascii="Times New Roman" w:eastAsia="Times New Roman" w:hAnsi="Times New Roman" w:cs="Times New Roman"/>
          <w:sz w:val="20"/>
          <w:szCs w:val="20"/>
          <w:lang w:val="es-ES"/>
        </w:rPr>
        <w:pPrChange w:id="57" w:author="Autor">
          <w:pPr>
            <w:spacing w:after="200" w:line="240" w:lineRule="auto"/>
            <w:ind w:left="2267"/>
            <w:jc w:val="both"/>
          </w:pPr>
        </w:pPrChange>
      </w:pPr>
    </w:p>
    <w:p w14:paraId="00000026" w14:textId="77777777" w:rsidR="00C3703E" w:rsidRPr="00A06729" w:rsidRDefault="00077BC5" w:rsidP="009562D1">
      <w:pPr>
        <w:spacing w:after="200" w:line="360" w:lineRule="auto"/>
        <w:ind w:left="2267"/>
        <w:jc w:val="both"/>
        <w:rPr>
          <w:rFonts w:ascii="Times New Roman" w:eastAsia="Times New Roman" w:hAnsi="Times New Roman" w:cs="Times New Roman"/>
          <w:sz w:val="20"/>
          <w:szCs w:val="20"/>
          <w:lang w:val="es-ES"/>
        </w:rPr>
        <w:pPrChange w:id="58" w:author="Autor">
          <w:pPr>
            <w:spacing w:after="200" w:line="240" w:lineRule="auto"/>
            <w:ind w:left="2267"/>
            <w:jc w:val="both"/>
          </w:pPr>
        </w:pPrChange>
      </w:pPr>
      <w:r w:rsidRPr="00A06729">
        <w:rPr>
          <w:rFonts w:ascii="Times New Roman" w:eastAsia="Times New Roman" w:hAnsi="Times New Roman" w:cs="Times New Roman"/>
          <w:sz w:val="20"/>
          <w:szCs w:val="20"/>
          <w:lang w:val="es-ES"/>
        </w:rPr>
        <w:t>que el tema salga de las manos exclusivas de las mujeres, ya que, así como el racismo debe ser comprendido como un problema tamb</w:t>
      </w:r>
      <w:r w:rsidRPr="00A06729">
        <w:rPr>
          <w:rFonts w:ascii="Times New Roman" w:eastAsia="Times New Roman" w:hAnsi="Times New Roman" w:cs="Times New Roman"/>
          <w:sz w:val="20"/>
          <w:szCs w:val="20"/>
          <w:lang w:val="es-ES"/>
        </w:rPr>
        <w:t xml:space="preserve">ién de los blancos, cuya humanidad se deteriora y se degrada a cada acto racista, el sexismo debe ser reconocido como un problema de los hombres, cuya humanidad se deteriora y se degrada al ser presionados por la moral tradicional y el régimen de status a </w:t>
      </w:r>
      <w:r w:rsidRPr="00A06729">
        <w:rPr>
          <w:rFonts w:ascii="Times New Roman" w:eastAsia="Times New Roman" w:hAnsi="Times New Roman" w:cs="Times New Roman"/>
          <w:sz w:val="20"/>
          <w:szCs w:val="20"/>
          <w:lang w:val="es-ES"/>
        </w:rPr>
        <w:t>reconducirse todos los días, por la fuerza o por la maña, a su posición de dominación (SEGATO, 2003, p. 16).</w:t>
      </w:r>
    </w:p>
    <w:p w14:paraId="00000027" w14:textId="77777777" w:rsidR="00C3703E" w:rsidRDefault="00077BC5" w:rsidP="009562D1">
      <w:pPr>
        <w:spacing w:after="200" w:line="360" w:lineRule="auto"/>
        <w:jc w:val="both"/>
        <w:rPr>
          <w:rFonts w:ascii="Times New Roman" w:eastAsia="Times New Roman" w:hAnsi="Times New Roman" w:cs="Times New Roman"/>
          <w:sz w:val="24"/>
          <w:szCs w:val="24"/>
        </w:rPr>
        <w:pPrChange w:id="59" w:author="Autor">
          <w:pPr>
            <w:spacing w:after="200" w:line="240" w:lineRule="auto"/>
            <w:jc w:val="both"/>
          </w:pPr>
        </w:pPrChange>
      </w:pPr>
      <w:r>
        <w:rPr>
          <w:rFonts w:ascii="Times New Roman" w:eastAsia="Times New Roman" w:hAnsi="Times New Roman" w:cs="Times New Roman"/>
          <w:sz w:val="24"/>
          <w:szCs w:val="24"/>
        </w:rPr>
        <w:t xml:space="preserve">Se ressalta assim a necessidade de se englobar socialmente, em todas as esferas, a centralidade e atualidade das questões de gênero, destacando as </w:t>
      </w:r>
      <w:r>
        <w:rPr>
          <w:rFonts w:ascii="Times New Roman" w:eastAsia="Times New Roman" w:hAnsi="Times New Roman" w:cs="Times New Roman"/>
          <w:sz w:val="24"/>
          <w:szCs w:val="24"/>
        </w:rPr>
        <w:t>múltiplas violências perpetradas sobre os corpos nos processos econômicos, políticos, sociais, de manutenção e reprodução das estruturas patriarcais, capitalistas, desiguais de poder.</w:t>
      </w:r>
    </w:p>
    <w:p w14:paraId="00000028" w14:textId="77777777" w:rsidR="00C3703E" w:rsidRDefault="00077BC5" w:rsidP="009562D1">
      <w:pPr>
        <w:spacing w:after="200" w:line="360" w:lineRule="auto"/>
        <w:jc w:val="both"/>
        <w:rPr>
          <w:rFonts w:ascii="Times New Roman" w:eastAsia="Times New Roman" w:hAnsi="Times New Roman" w:cs="Times New Roman"/>
          <w:sz w:val="24"/>
          <w:szCs w:val="24"/>
        </w:rPr>
        <w:pPrChange w:id="60" w:author="Autor">
          <w:pPr>
            <w:spacing w:after="200" w:line="240" w:lineRule="auto"/>
            <w:jc w:val="both"/>
          </w:pPr>
        </w:pPrChange>
      </w:pPr>
      <w:r>
        <w:rPr>
          <w:rFonts w:ascii="Times New Roman" w:eastAsia="Times New Roman" w:hAnsi="Times New Roman" w:cs="Times New Roman"/>
          <w:sz w:val="24"/>
          <w:szCs w:val="24"/>
        </w:rPr>
        <w:t>Neste contexto a reflexão de gênero possibilita ampliar o leque de refle</w:t>
      </w:r>
      <w:r>
        <w:rPr>
          <w:rFonts w:ascii="Times New Roman" w:eastAsia="Times New Roman" w:hAnsi="Times New Roman" w:cs="Times New Roman"/>
          <w:sz w:val="24"/>
          <w:szCs w:val="24"/>
        </w:rPr>
        <w:t>xões acerca dos limites dos processo de integração, apontando problemáticas centrais ao processo de construção e estruturação do Mercado Comum do Sul, MERCOSUL.</w:t>
      </w:r>
    </w:p>
    <w:p w14:paraId="00000029" w14:textId="77777777" w:rsidR="00C3703E" w:rsidRDefault="00C3703E" w:rsidP="00513177">
      <w:pPr>
        <w:spacing w:line="360" w:lineRule="auto"/>
        <w:ind w:firstLine="850"/>
        <w:jc w:val="both"/>
        <w:rPr>
          <w:rFonts w:ascii="Times New Roman" w:eastAsia="Times New Roman" w:hAnsi="Times New Roman" w:cs="Times New Roman"/>
          <w:sz w:val="24"/>
          <w:szCs w:val="24"/>
        </w:rPr>
      </w:pPr>
    </w:p>
    <w:p w14:paraId="0000002A" w14:textId="77777777" w:rsidR="00C3703E" w:rsidRDefault="00077BC5" w:rsidP="00513177">
      <w:pPr>
        <w:spacing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3 INTEGRAÇÃO PROFUNDA E O MERCOSUL</w:t>
      </w:r>
    </w:p>
    <w:p w14:paraId="0000002B" w14:textId="77777777" w:rsidR="00C3703E" w:rsidRDefault="00077BC5" w:rsidP="009562D1">
      <w:pPr>
        <w:spacing w:line="360" w:lineRule="auto"/>
        <w:jc w:val="both"/>
        <w:rPr>
          <w:rFonts w:ascii="Times New Roman" w:eastAsia="Times New Roman" w:hAnsi="Times New Roman" w:cs="Times New Roman"/>
          <w:sz w:val="24"/>
          <w:szCs w:val="24"/>
        </w:rPr>
        <w:pPrChange w:id="61" w:author="Autor">
          <w:pPr>
            <w:spacing w:line="240" w:lineRule="auto"/>
            <w:jc w:val="both"/>
          </w:pPr>
        </w:pPrChange>
      </w:pPr>
      <w:r>
        <w:rPr>
          <w:rFonts w:ascii="Times New Roman" w:eastAsia="Times New Roman" w:hAnsi="Times New Roman" w:cs="Times New Roman"/>
          <w:sz w:val="24"/>
          <w:szCs w:val="24"/>
        </w:rPr>
        <w:t>No âmbito das relações internacionais se entende que após a</w:t>
      </w:r>
      <w:r>
        <w:rPr>
          <w:rFonts w:ascii="Times New Roman" w:eastAsia="Times New Roman" w:hAnsi="Times New Roman" w:cs="Times New Roman"/>
          <w:sz w:val="24"/>
          <w:szCs w:val="24"/>
        </w:rPr>
        <w:t xml:space="preserve"> Guerra Fria em 1989, se firmou uma Nova Ordem global, onde a globalização se tornou mais expressiva. Segundo Andrade e Ribeiro (2016, p. 137) esta Nova Ordem possibilitou “</w:t>
      </w:r>
      <w:r>
        <w:rPr>
          <w:rFonts w:ascii="Times New Roman" w:eastAsia="Times New Roman" w:hAnsi="Times New Roman" w:cs="Times New Roman"/>
          <w:i/>
          <w:sz w:val="24"/>
          <w:szCs w:val="24"/>
        </w:rPr>
        <w:t>a formação de redes de diálogos políticos, econômicos, comerciais, sociais e cultur</w:t>
      </w:r>
      <w:r>
        <w:rPr>
          <w:rFonts w:ascii="Times New Roman" w:eastAsia="Times New Roman" w:hAnsi="Times New Roman" w:cs="Times New Roman"/>
          <w:i/>
          <w:sz w:val="24"/>
          <w:szCs w:val="24"/>
        </w:rPr>
        <w:t xml:space="preserve">ais entre Estados, instituições e indivíduos, e, por conseguinte, a integração econômica entre regiões </w:t>
      </w:r>
      <w:commentRangeStart w:id="62"/>
      <w:r>
        <w:rPr>
          <w:rFonts w:ascii="Times New Roman" w:eastAsia="Times New Roman" w:hAnsi="Times New Roman" w:cs="Times New Roman"/>
          <w:i/>
          <w:sz w:val="24"/>
          <w:szCs w:val="24"/>
        </w:rPr>
        <w:t>internacionais</w:t>
      </w:r>
      <w:commentRangeEnd w:id="62"/>
      <w:r w:rsidR="00513177">
        <w:rPr>
          <w:rStyle w:val="Refdecomentrio"/>
        </w:rPr>
        <w:commentReference w:id="62"/>
      </w:r>
      <w:r>
        <w:rPr>
          <w:rFonts w:ascii="Times New Roman" w:eastAsia="Times New Roman" w:hAnsi="Times New Roman" w:cs="Times New Roman"/>
          <w:sz w:val="24"/>
          <w:szCs w:val="24"/>
        </w:rPr>
        <w:t xml:space="preserve">”. </w:t>
      </w:r>
    </w:p>
    <w:p w14:paraId="0000002C" w14:textId="77777777" w:rsidR="00C3703E" w:rsidRDefault="00077BC5" w:rsidP="009562D1">
      <w:pPr>
        <w:spacing w:line="360" w:lineRule="auto"/>
        <w:jc w:val="both"/>
        <w:rPr>
          <w:rFonts w:ascii="Times New Roman" w:eastAsia="Times New Roman" w:hAnsi="Times New Roman" w:cs="Times New Roman"/>
          <w:sz w:val="24"/>
          <w:szCs w:val="24"/>
        </w:rPr>
        <w:pPrChange w:id="63" w:author="Autor">
          <w:pPr>
            <w:spacing w:line="240" w:lineRule="auto"/>
            <w:jc w:val="both"/>
          </w:pPr>
        </w:pPrChange>
      </w:pPr>
      <w:r>
        <w:rPr>
          <w:rFonts w:ascii="Times New Roman" w:eastAsia="Times New Roman" w:hAnsi="Times New Roman" w:cs="Times New Roman"/>
          <w:sz w:val="24"/>
          <w:szCs w:val="24"/>
        </w:rPr>
        <w:t>É neste contexto que se funda o Mercado Comum do Sul (MERCOSUL), criado em março de 1991, com a assinatura do Tratado de Assunção pelo Brasil, Argentina, Paraguai e Uruguai, definido como “</w:t>
      </w:r>
      <w:r>
        <w:rPr>
          <w:rFonts w:ascii="Times New Roman" w:eastAsia="Times New Roman" w:hAnsi="Times New Roman" w:cs="Times New Roman"/>
          <w:i/>
          <w:sz w:val="24"/>
          <w:szCs w:val="24"/>
        </w:rPr>
        <w:t>a mais abrangente iniciativa de integração regional da América Lati</w:t>
      </w:r>
      <w:r>
        <w:rPr>
          <w:rFonts w:ascii="Times New Roman" w:eastAsia="Times New Roman" w:hAnsi="Times New Roman" w:cs="Times New Roman"/>
          <w:i/>
          <w:sz w:val="24"/>
          <w:szCs w:val="24"/>
        </w:rPr>
        <w:t>na</w:t>
      </w:r>
      <w:r>
        <w:rPr>
          <w:rFonts w:ascii="Times New Roman" w:eastAsia="Times New Roman" w:hAnsi="Times New Roman" w:cs="Times New Roman"/>
          <w:sz w:val="24"/>
          <w:szCs w:val="24"/>
        </w:rPr>
        <w:t>” (MERCOSUL, 2018b).</w:t>
      </w:r>
    </w:p>
    <w:p w14:paraId="0000002D" w14:textId="77777777" w:rsidR="00C3703E" w:rsidRDefault="00077BC5" w:rsidP="009562D1">
      <w:pPr>
        <w:spacing w:line="360" w:lineRule="auto"/>
        <w:jc w:val="both"/>
        <w:rPr>
          <w:rFonts w:ascii="Times New Roman" w:eastAsia="Times New Roman" w:hAnsi="Times New Roman" w:cs="Times New Roman"/>
          <w:sz w:val="24"/>
          <w:szCs w:val="24"/>
        </w:rPr>
        <w:pPrChange w:id="64" w:author="Autor">
          <w:pPr>
            <w:spacing w:line="240" w:lineRule="auto"/>
            <w:jc w:val="both"/>
          </w:pPr>
        </w:pPrChange>
      </w:pPr>
      <w:r>
        <w:rPr>
          <w:rFonts w:ascii="Times New Roman" w:eastAsia="Times New Roman" w:hAnsi="Times New Roman" w:cs="Times New Roman"/>
          <w:sz w:val="24"/>
          <w:szCs w:val="24"/>
        </w:rPr>
        <w:t xml:space="preserve">O Tratado de Assunção estabelece um modelo de integração </w:t>
      </w:r>
      <w:commentRangeStart w:id="65"/>
      <w:r>
        <w:rPr>
          <w:rFonts w:ascii="Times New Roman" w:eastAsia="Times New Roman" w:hAnsi="Times New Roman" w:cs="Times New Roman"/>
          <w:sz w:val="24"/>
          <w:szCs w:val="24"/>
        </w:rPr>
        <w:t>profunda</w:t>
      </w:r>
      <w:commentRangeEnd w:id="65"/>
      <w:r w:rsidR="00916184">
        <w:rPr>
          <w:rStyle w:val="Refdecomentrio"/>
        </w:rPr>
        <w:commentReference w:id="65"/>
      </w:r>
      <w:r>
        <w:rPr>
          <w:rFonts w:ascii="Times New Roman" w:eastAsia="Times New Roman" w:hAnsi="Times New Roman" w:cs="Times New Roman"/>
          <w:sz w:val="24"/>
          <w:szCs w:val="24"/>
        </w:rPr>
        <w:t>, isso por incluir como objetivos centrais a formação de um mercado comum, caracterizado pela livre circulação interna de bens, serviços e fatores produtivos. Se estabe</w:t>
      </w:r>
      <w:r>
        <w:rPr>
          <w:rFonts w:ascii="Times New Roman" w:eastAsia="Times New Roman" w:hAnsi="Times New Roman" w:cs="Times New Roman"/>
          <w:sz w:val="24"/>
          <w:szCs w:val="24"/>
        </w:rPr>
        <w:t>lece a criação de uma Tarifa Externa Comum (TEC) no comércio com terceiros países, além da adoção de uma política comercial comum.</w:t>
      </w:r>
    </w:p>
    <w:p w14:paraId="0000002E" w14:textId="77777777" w:rsidR="00C3703E" w:rsidRDefault="00077BC5" w:rsidP="009562D1">
      <w:pPr>
        <w:spacing w:line="360" w:lineRule="auto"/>
        <w:jc w:val="both"/>
        <w:rPr>
          <w:rFonts w:ascii="Times New Roman" w:eastAsia="Times New Roman" w:hAnsi="Times New Roman" w:cs="Times New Roman"/>
          <w:sz w:val="24"/>
          <w:szCs w:val="24"/>
        </w:rPr>
        <w:pPrChange w:id="66" w:author="Autor">
          <w:pPr>
            <w:spacing w:line="240" w:lineRule="auto"/>
            <w:jc w:val="both"/>
          </w:pPr>
        </w:pPrChange>
      </w:pPr>
      <w:r>
        <w:rPr>
          <w:rFonts w:ascii="Times New Roman" w:eastAsia="Times New Roman" w:hAnsi="Times New Roman" w:cs="Times New Roman"/>
          <w:sz w:val="24"/>
          <w:szCs w:val="24"/>
        </w:rPr>
        <w:t xml:space="preserve">Este ideal de integração profunda, além da integração puramente </w:t>
      </w:r>
      <w:commentRangeStart w:id="67"/>
      <w:r>
        <w:rPr>
          <w:rFonts w:ascii="Times New Roman" w:eastAsia="Times New Roman" w:hAnsi="Times New Roman" w:cs="Times New Roman"/>
          <w:sz w:val="24"/>
          <w:szCs w:val="24"/>
        </w:rPr>
        <w:t>econômica</w:t>
      </w:r>
      <w:commentRangeEnd w:id="67"/>
      <w:r w:rsidR="00916184">
        <w:rPr>
          <w:rStyle w:val="Refdecomentrio"/>
        </w:rPr>
        <w:commentReference w:id="67"/>
      </w:r>
      <w:r>
        <w:rPr>
          <w:rFonts w:ascii="Times New Roman" w:eastAsia="Times New Roman" w:hAnsi="Times New Roman" w:cs="Times New Roman"/>
          <w:sz w:val="24"/>
          <w:szCs w:val="24"/>
        </w:rPr>
        <w:t xml:space="preserve">, se estabelece como foco do presente trabalho, ao se problematizar as ressonâncias entre este processo e as pautas de Direitos Humanos, com especial atenção às temáticas específicas </w:t>
      </w:r>
      <w:r>
        <w:rPr>
          <w:rFonts w:ascii="Times New Roman" w:eastAsia="Times New Roman" w:hAnsi="Times New Roman" w:cs="Times New Roman"/>
          <w:sz w:val="24"/>
          <w:szCs w:val="24"/>
        </w:rPr>
        <w:t>de gênero/sexualidade</w:t>
      </w:r>
      <w:r>
        <w:rPr>
          <w:rFonts w:ascii="Times New Roman" w:eastAsia="Times New Roman" w:hAnsi="Times New Roman" w:cs="Times New Roman"/>
          <w:sz w:val="24"/>
          <w:szCs w:val="24"/>
          <w:vertAlign w:val="superscript"/>
        </w:rPr>
        <w:footnoteReference w:id="1"/>
      </w:r>
      <w:r>
        <w:rPr>
          <w:rFonts w:ascii="Times New Roman" w:eastAsia="Times New Roman" w:hAnsi="Times New Roman" w:cs="Times New Roman"/>
          <w:sz w:val="24"/>
          <w:szCs w:val="24"/>
        </w:rPr>
        <w:t>.</w:t>
      </w:r>
    </w:p>
    <w:p w14:paraId="0000002F" w14:textId="77777777" w:rsidR="00C3703E" w:rsidRDefault="00077BC5" w:rsidP="009562D1">
      <w:pPr>
        <w:spacing w:line="360" w:lineRule="auto"/>
        <w:jc w:val="both"/>
        <w:rPr>
          <w:rFonts w:ascii="Times New Roman" w:eastAsia="Times New Roman" w:hAnsi="Times New Roman" w:cs="Times New Roman"/>
          <w:sz w:val="24"/>
          <w:szCs w:val="24"/>
        </w:rPr>
        <w:pPrChange w:id="68" w:author="Autor">
          <w:pPr>
            <w:spacing w:line="240" w:lineRule="auto"/>
            <w:jc w:val="both"/>
          </w:pPr>
        </w:pPrChange>
      </w:pPr>
      <w:r>
        <w:rPr>
          <w:rFonts w:ascii="Times New Roman" w:eastAsia="Times New Roman" w:hAnsi="Times New Roman" w:cs="Times New Roman"/>
          <w:sz w:val="24"/>
          <w:szCs w:val="24"/>
        </w:rPr>
        <w:t>Se entende que “</w:t>
      </w:r>
      <w:r>
        <w:rPr>
          <w:rFonts w:ascii="Times New Roman" w:eastAsia="Times New Roman" w:hAnsi="Times New Roman" w:cs="Times New Roman"/>
          <w:i/>
          <w:sz w:val="24"/>
          <w:szCs w:val="24"/>
        </w:rPr>
        <w:t>No decorrer do processo de integração, e em grande medida em razão do êxito inicial da integração econômico-comercial, a agenda do MERCOSUL foi paulatinamente ampliada, passando a incluir temas políticos, de direitos</w:t>
      </w:r>
      <w:r>
        <w:rPr>
          <w:rFonts w:ascii="Times New Roman" w:eastAsia="Times New Roman" w:hAnsi="Times New Roman" w:cs="Times New Roman"/>
          <w:i/>
          <w:sz w:val="24"/>
          <w:szCs w:val="24"/>
        </w:rPr>
        <w:t xml:space="preserve"> humanos, sociais e de </w:t>
      </w:r>
      <w:commentRangeStart w:id="69"/>
      <w:r>
        <w:rPr>
          <w:rFonts w:ascii="Times New Roman" w:eastAsia="Times New Roman" w:hAnsi="Times New Roman" w:cs="Times New Roman"/>
          <w:i/>
          <w:sz w:val="24"/>
          <w:szCs w:val="24"/>
        </w:rPr>
        <w:t>cidadania</w:t>
      </w:r>
      <w:commentRangeEnd w:id="69"/>
      <w:r w:rsidR="00916184">
        <w:rPr>
          <w:rStyle w:val="Refdecomentrio"/>
        </w:rPr>
        <w:commentReference w:id="69"/>
      </w:r>
      <w:r>
        <w:rPr>
          <w:rFonts w:ascii="Times New Roman" w:eastAsia="Times New Roman" w:hAnsi="Times New Roman" w:cs="Times New Roman"/>
          <w:sz w:val="24"/>
          <w:szCs w:val="24"/>
        </w:rPr>
        <w:t>” (MERCOSUL, 2018b).</w:t>
      </w:r>
    </w:p>
    <w:p w14:paraId="00000030" w14:textId="77777777" w:rsidR="00C3703E" w:rsidRDefault="00077BC5" w:rsidP="009562D1">
      <w:pPr>
        <w:spacing w:line="360" w:lineRule="auto"/>
        <w:jc w:val="both"/>
        <w:rPr>
          <w:rFonts w:ascii="Times New Roman" w:eastAsia="Times New Roman" w:hAnsi="Times New Roman" w:cs="Times New Roman"/>
          <w:sz w:val="24"/>
          <w:szCs w:val="24"/>
        </w:rPr>
        <w:pPrChange w:id="70" w:author="Autor">
          <w:pPr>
            <w:spacing w:line="240" w:lineRule="auto"/>
            <w:jc w:val="both"/>
          </w:pPr>
        </w:pPrChange>
      </w:pPr>
      <w:r>
        <w:rPr>
          <w:rFonts w:ascii="Times New Roman" w:eastAsia="Times New Roman" w:hAnsi="Times New Roman" w:cs="Times New Roman"/>
          <w:sz w:val="24"/>
          <w:szCs w:val="24"/>
        </w:rPr>
        <w:t xml:space="preserve">A ampliação deste conceito de </w:t>
      </w:r>
      <w:commentRangeStart w:id="71"/>
      <w:r>
        <w:rPr>
          <w:rFonts w:ascii="Times New Roman" w:eastAsia="Times New Roman" w:hAnsi="Times New Roman" w:cs="Times New Roman"/>
          <w:sz w:val="24"/>
          <w:szCs w:val="24"/>
        </w:rPr>
        <w:t>integração</w:t>
      </w:r>
      <w:commentRangeEnd w:id="71"/>
      <w:r w:rsidR="00916184">
        <w:rPr>
          <w:rStyle w:val="Refdecomentrio"/>
        </w:rPr>
        <w:commentReference w:id="71"/>
      </w:r>
      <w:r>
        <w:rPr>
          <w:rFonts w:ascii="Times New Roman" w:eastAsia="Times New Roman" w:hAnsi="Times New Roman" w:cs="Times New Roman"/>
          <w:sz w:val="24"/>
          <w:szCs w:val="24"/>
        </w:rPr>
        <w:t xml:space="preserve"> permite que </w:t>
      </w:r>
      <w:commentRangeStart w:id="72"/>
      <w:r>
        <w:rPr>
          <w:rFonts w:ascii="Times New Roman" w:eastAsia="Times New Roman" w:hAnsi="Times New Roman" w:cs="Times New Roman"/>
          <w:sz w:val="24"/>
          <w:szCs w:val="24"/>
        </w:rPr>
        <w:t xml:space="preserve">no âmbito do MERCOSUL </w:t>
      </w:r>
      <w:commentRangeEnd w:id="72"/>
      <w:r w:rsidR="00916184">
        <w:rPr>
          <w:rStyle w:val="Refdecomentrio"/>
        </w:rPr>
        <w:commentReference w:id="72"/>
      </w:r>
      <w:r>
        <w:rPr>
          <w:rFonts w:ascii="Times New Roman" w:eastAsia="Times New Roman" w:hAnsi="Times New Roman" w:cs="Times New Roman"/>
          <w:sz w:val="24"/>
          <w:szCs w:val="24"/>
        </w:rPr>
        <w:t>sejam debatidas temáticas de Direitos Humanos, bem como a utilização de instrumentos normativos vinculados ao Sistema Interameri</w:t>
      </w:r>
      <w:r>
        <w:rPr>
          <w:rFonts w:ascii="Times New Roman" w:eastAsia="Times New Roman" w:hAnsi="Times New Roman" w:cs="Times New Roman"/>
          <w:sz w:val="24"/>
          <w:szCs w:val="24"/>
        </w:rPr>
        <w:t>cano de Proteção dos Direitos Humanos dentro dos países do bloco.</w:t>
      </w:r>
    </w:p>
    <w:p w14:paraId="00000031" w14:textId="77777777" w:rsidR="00C3703E" w:rsidRDefault="00077BC5" w:rsidP="009562D1">
      <w:pPr>
        <w:spacing w:line="360" w:lineRule="auto"/>
        <w:ind w:left="2267"/>
        <w:jc w:val="both"/>
        <w:rPr>
          <w:rFonts w:ascii="Times New Roman" w:eastAsia="Times New Roman" w:hAnsi="Times New Roman" w:cs="Times New Roman"/>
          <w:sz w:val="20"/>
          <w:szCs w:val="20"/>
        </w:rPr>
        <w:pPrChange w:id="73" w:author="Autor">
          <w:pPr>
            <w:spacing w:line="240" w:lineRule="auto"/>
            <w:ind w:left="2267"/>
            <w:jc w:val="both"/>
          </w:pPr>
        </w:pPrChange>
      </w:pPr>
      <w:r>
        <w:rPr>
          <w:rFonts w:ascii="Times New Roman" w:eastAsia="Times New Roman" w:hAnsi="Times New Roman" w:cs="Times New Roman"/>
          <w:sz w:val="20"/>
          <w:szCs w:val="20"/>
        </w:rPr>
        <w:t>O Sistema de proteção voltado à garantia dos direitos humanos começa a se desenvolver internacionalmente em um contexto pós-Segunda Guerra Mundial, quando, em 1945, em substituição à Liga da</w:t>
      </w:r>
      <w:r>
        <w:rPr>
          <w:rFonts w:ascii="Times New Roman" w:eastAsia="Times New Roman" w:hAnsi="Times New Roman" w:cs="Times New Roman"/>
          <w:sz w:val="20"/>
          <w:szCs w:val="20"/>
        </w:rPr>
        <w:t>s Nações, funda-se a Organização das Nações Unidas (ONU), com a intenção de impedir outro conflito como aquele, sendo que, em 1948, firma-se durante Assembléia-Geral das Nações Unidas a Declaração Universal dos Direitos do Homem. Ainda em 1948, na cidade d</w:t>
      </w:r>
      <w:r>
        <w:rPr>
          <w:rFonts w:ascii="Times New Roman" w:eastAsia="Times New Roman" w:hAnsi="Times New Roman" w:cs="Times New Roman"/>
          <w:sz w:val="20"/>
          <w:szCs w:val="20"/>
        </w:rPr>
        <w:t>e Washington (capital dos Estados Unidos), é fundada a OEA (Organização dos Estados Americanos) organização internacional formada atualmente por 35 países do continente americano, dentre eles todos os países da chamada América Latina, exceto Cuba. (MENCATO</w:t>
      </w:r>
      <w:r>
        <w:rPr>
          <w:rFonts w:ascii="Times New Roman" w:eastAsia="Times New Roman" w:hAnsi="Times New Roman" w:cs="Times New Roman"/>
          <w:sz w:val="20"/>
          <w:szCs w:val="20"/>
        </w:rPr>
        <w:t>,  2017, p. 3)</w:t>
      </w:r>
    </w:p>
    <w:p w14:paraId="00000032" w14:textId="77777777" w:rsidR="00C3703E" w:rsidRDefault="00C3703E" w:rsidP="009562D1">
      <w:pPr>
        <w:spacing w:line="360" w:lineRule="auto"/>
        <w:ind w:left="2267"/>
        <w:jc w:val="both"/>
        <w:rPr>
          <w:rFonts w:ascii="Times New Roman" w:eastAsia="Times New Roman" w:hAnsi="Times New Roman" w:cs="Times New Roman"/>
          <w:sz w:val="20"/>
          <w:szCs w:val="20"/>
        </w:rPr>
        <w:pPrChange w:id="74" w:author="Autor">
          <w:pPr>
            <w:spacing w:line="240" w:lineRule="auto"/>
            <w:ind w:left="2267"/>
            <w:jc w:val="both"/>
          </w:pPr>
        </w:pPrChange>
      </w:pPr>
    </w:p>
    <w:p w14:paraId="00000033" w14:textId="7C718EEB" w:rsidR="00C3703E" w:rsidRDefault="00077BC5" w:rsidP="009562D1">
      <w:pPr>
        <w:spacing w:line="360" w:lineRule="auto"/>
        <w:jc w:val="both"/>
        <w:rPr>
          <w:rFonts w:ascii="Times New Roman" w:eastAsia="Times New Roman" w:hAnsi="Times New Roman" w:cs="Times New Roman"/>
          <w:sz w:val="24"/>
          <w:szCs w:val="24"/>
        </w:rPr>
        <w:pPrChange w:id="75" w:author="Autor">
          <w:pPr>
            <w:spacing w:line="240" w:lineRule="auto"/>
            <w:jc w:val="both"/>
          </w:pPr>
        </w:pPrChange>
      </w:pPr>
      <w:r>
        <w:rPr>
          <w:rFonts w:ascii="Times New Roman" w:eastAsia="Times New Roman" w:hAnsi="Times New Roman" w:cs="Times New Roman"/>
          <w:sz w:val="24"/>
          <w:szCs w:val="24"/>
        </w:rPr>
        <w:t xml:space="preserve">Esses aparatos normativos regionais, que compõem o Sistema Interamericano de Direitos Humanos, </w:t>
      </w:r>
      <w:del w:id="76" w:author="Autor">
        <w:r w:rsidDel="00916184">
          <w:rPr>
            <w:rFonts w:ascii="Times New Roman" w:eastAsia="Times New Roman" w:hAnsi="Times New Roman" w:cs="Times New Roman"/>
            <w:sz w:val="24"/>
            <w:szCs w:val="24"/>
          </w:rPr>
          <w:delText>como  a</w:delText>
        </w:r>
      </w:del>
      <w:ins w:id="77" w:author="Autor">
        <w:r w:rsidR="00916184">
          <w:rPr>
            <w:rFonts w:ascii="Times New Roman" w:eastAsia="Times New Roman" w:hAnsi="Times New Roman" w:cs="Times New Roman"/>
            <w:sz w:val="24"/>
            <w:szCs w:val="24"/>
          </w:rPr>
          <w:t>como a</w:t>
        </w:r>
      </w:ins>
      <w:r>
        <w:rPr>
          <w:rFonts w:ascii="Times New Roman" w:eastAsia="Times New Roman" w:hAnsi="Times New Roman" w:cs="Times New Roman"/>
          <w:sz w:val="24"/>
          <w:szCs w:val="24"/>
        </w:rPr>
        <w:t xml:space="preserve"> Convenção Americana de Direitos Humanos (Pacto de San José da Costa Rica) e seu Protocolo Adicional (Protocolo de San Salvador), surgiram</w:t>
      </w:r>
      <w:r>
        <w:rPr>
          <w:rFonts w:ascii="Times New Roman" w:eastAsia="Times New Roman" w:hAnsi="Times New Roman" w:cs="Times New Roman"/>
          <w:sz w:val="24"/>
          <w:szCs w:val="24"/>
        </w:rPr>
        <w:t xml:space="preserve"> a fim de estabelecer um aparato regional para promoção e proteção dos direitos humanos, neste sentido:</w:t>
      </w:r>
    </w:p>
    <w:p w14:paraId="00000034" w14:textId="77777777" w:rsidR="00C3703E" w:rsidRDefault="00C3703E" w:rsidP="009562D1">
      <w:pPr>
        <w:spacing w:line="360" w:lineRule="auto"/>
        <w:ind w:left="2267"/>
        <w:jc w:val="both"/>
        <w:rPr>
          <w:rFonts w:ascii="Times New Roman" w:eastAsia="Times New Roman" w:hAnsi="Times New Roman" w:cs="Times New Roman"/>
          <w:sz w:val="20"/>
          <w:szCs w:val="20"/>
        </w:rPr>
        <w:pPrChange w:id="78" w:author="Autor">
          <w:pPr>
            <w:spacing w:line="240" w:lineRule="auto"/>
            <w:ind w:left="2267"/>
            <w:jc w:val="both"/>
          </w:pPr>
        </w:pPrChange>
      </w:pPr>
    </w:p>
    <w:p w14:paraId="00000035" w14:textId="77777777" w:rsidR="00C3703E" w:rsidRDefault="00077BC5" w:rsidP="009562D1">
      <w:pPr>
        <w:spacing w:line="360" w:lineRule="auto"/>
        <w:ind w:left="2267"/>
        <w:jc w:val="both"/>
        <w:rPr>
          <w:rFonts w:ascii="Times New Roman" w:eastAsia="Times New Roman" w:hAnsi="Times New Roman" w:cs="Times New Roman"/>
          <w:sz w:val="20"/>
          <w:szCs w:val="20"/>
        </w:rPr>
        <w:pPrChange w:id="79" w:author="Autor">
          <w:pPr>
            <w:spacing w:line="240" w:lineRule="auto"/>
            <w:ind w:left="2267"/>
            <w:jc w:val="both"/>
          </w:pPr>
        </w:pPrChange>
      </w:pPr>
      <w:r>
        <w:rPr>
          <w:rFonts w:ascii="Times New Roman" w:eastAsia="Times New Roman" w:hAnsi="Times New Roman" w:cs="Times New Roman"/>
          <w:sz w:val="20"/>
          <w:szCs w:val="20"/>
        </w:rPr>
        <w:t>Os direitos humanos surgiram para proteger, garantir e legitimar a igualdade de todos os seres humanos, em direitos e deveres, independentemente das di</w:t>
      </w:r>
      <w:r>
        <w:rPr>
          <w:rFonts w:ascii="Times New Roman" w:eastAsia="Times New Roman" w:hAnsi="Times New Roman" w:cs="Times New Roman"/>
          <w:sz w:val="20"/>
          <w:szCs w:val="20"/>
        </w:rPr>
        <w:t xml:space="preserve">ferenças étnicas ou de gênero, cultura, religião, nacionalidade etc., e das inúmeras individualidades que compõem e marcam o </w:t>
      </w:r>
      <w:r>
        <w:rPr>
          <w:rFonts w:ascii="Times New Roman" w:eastAsia="Times New Roman" w:hAnsi="Times New Roman" w:cs="Times New Roman"/>
          <w:i/>
          <w:sz w:val="20"/>
          <w:szCs w:val="20"/>
        </w:rPr>
        <w:t>homo sapiens</w:t>
      </w:r>
      <w:r>
        <w:rPr>
          <w:rFonts w:ascii="Times New Roman" w:eastAsia="Times New Roman" w:hAnsi="Times New Roman" w:cs="Times New Roman"/>
          <w:sz w:val="20"/>
          <w:szCs w:val="20"/>
        </w:rPr>
        <w:t>. (ESPÍNOLA, 2018, p. 31)</w:t>
      </w:r>
    </w:p>
    <w:p w14:paraId="00000036" w14:textId="77777777" w:rsidR="00C3703E" w:rsidRDefault="00C3703E" w:rsidP="009562D1">
      <w:pPr>
        <w:spacing w:line="360" w:lineRule="auto"/>
        <w:ind w:left="2267"/>
        <w:jc w:val="both"/>
        <w:rPr>
          <w:rFonts w:ascii="Times New Roman" w:eastAsia="Times New Roman" w:hAnsi="Times New Roman" w:cs="Times New Roman"/>
          <w:sz w:val="20"/>
          <w:szCs w:val="20"/>
        </w:rPr>
        <w:pPrChange w:id="80" w:author="Autor">
          <w:pPr>
            <w:spacing w:line="240" w:lineRule="auto"/>
            <w:ind w:left="2267"/>
            <w:jc w:val="both"/>
          </w:pPr>
        </w:pPrChange>
      </w:pPr>
    </w:p>
    <w:p w14:paraId="00000037" w14:textId="77777777" w:rsidR="00C3703E" w:rsidRDefault="00077BC5" w:rsidP="009562D1">
      <w:pPr>
        <w:spacing w:line="360" w:lineRule="auto"/>
        <w:jc w:val="both"/>
        <w:rPr>
          <w:rFonts w:ascii="Times New Roman" w:eastAsia="Times New Roman" w:hAnsi="Times New Roman" w:cs="Times New Roman"/>
          <w:sz w:val="24"/>
          <w:szCs w:val="24"/>
        </w:rPr>
        <w:pPrChange w:id="81" w:author="Autor">
          <w:pPr>
            <w:spacing w:line="240" w:lineRule="auto"/>
            <w:jc w:val="both"/>
          </w:pPr>
        </w:pPrChange>
      </w:pPr>
      <w:r>
        <w:rPr>
          <w:rFonts w:ascii="Times New Roman" w:eastAsia="Times New Roman" w:hAnsi="Times New Roman" w:cs="Times New Roman"/>
          <w:sz w:val="24"/>
          <w:szCs w:val="24"/>
        </w:rPr>
        <w:t>Podem ser percebidos portanto como uma agenda de/para promoção da integração entre os países</w:t>
      </w:r>
      <w:r>
        <w:rPr>
          <w:rFonts w:ascii="Times New Roman" w:eastAsia="Times New Roman" w:hAnsi="Times New Roman" w:cs="Times New Roman"/>
          <w:sz w:val="24"/>
          <w:szCs w:val="24"/>
        </w:rPr>
        <w:t xml:space="preserve"> de dentro e fora do bloco, pois “</w:t>
      </w:r>
      <w:r>
        <w:rPr>
          <w:rFonts w:ascii="Times New Roman" w:eastAsia="Times New Roman" w:hAnsi="Times New Roman" w:cs="Times New Roman"/>
          <w:i/>
          <w:sz w:val="24"/>
          <w:szCs w:val="24"/>
        </w:rPr>
        <w:t>a defesa dos Direitos Humanos é um dos objetivos traçados pelos Estados do MERCOSUL para que a integração regional se expanda em outros aspectos tão ou mais importantes quanto o econômico</w:t>
      </w:r>
      <w:r>
        <w:rPr>
          <w:rFonts w:ascii="Times New Roman" w:eastAsia="Times New Roman" w:hAnsi="Times New Roman" w:cs="Times New Roman"/>
          <w:sz w:val="24"/>
          <w:szCs w:val="24"/>
        </w:rPr>
        <w:t>” (ANDRADE; RIBEIRO, 2016, p. 151).</w:t>
      </w:r>
    </w:p>
    <w:p w14:paraId="00000038" w14:textId="77777777" w:rsidR="00C3703E" w:rsidRDefault="00077BC5" w:rsidP="009562D1">
      <w:pPr>
        <w:spacing w:line="360" w:lineRule="auto"/>
        <w:jc w:val="both"/>
        <w:rPr>
          <w:rFonts w:ascii="Times New Roman" w:eastAsia="Times New Roman" w:hAnsi="Times New Roman" w:cs="Times New Roman"/>
          <w:sz w:val="24"/>
          <w:szCs w:val="24"/>
        </w:rPr>
        <w:pPrChange w:id="82" w:author="Autor">
          <w:pPr>
            <w:spacing w:line="240" w:lineRule="auto"/>
            <w:jc w:val="both"/>
          </w:pPr>
        </w:pPrChange>
      </w:pPr>
      <w:r>
        <w:rPr>
          <w:rFonts w:ascii="Times New Roman" w:eastAsia="Times New Roman" w:hAnsi="Times New Roman" w:cs="Times New Roman"/>
          <w:sz w:val="24"/>
          <w:szCs w:val="24"/>
        </w:rPr>
        <w:t>Neste afã se institui no âmbito do MERCOSUL por meio da Decisão do Conselho de Mercado Comum (CMC) Nº 14/09, sob o âmbito da RAADH e com sede permanente na Cidade de Buenos Aires, pela Decisão CMC Nº 32/09 o Instituto de Políticas Públicas em Direitos Hum</w:t>
      </w:r>
      <w:r>
        <w:rPr>
          <w:rFonts w:ascii="Times New Roman" w:eastAsia="Times New Roman" w:hAnsi="Times New Roman" w:cs="Times New Roman"/>
          <w:sz w:val="24"/>
          <w:szCs w:val="24"/>
        </w:rPr>
        <w:t>anos (IPPDH) que tem por “</w:t>
      </w:r>
      <w:r>
        <w:rPr>
          <w:rFonts w:ascii="Times New Roman" w:eastAsia="Times New Roman" w:hAnsi="Times New Roman" w:cs="Times New Roman"/>
          <w:i/>
          <w:sz w:val="24"/>
          <w:szCs w:val="24"/>
        </w:rPr>
        <w:t>Missão Fortalecer os direitos humanos como um eixo fundamental da identidade e integração regional mediante a cooperação e coordenação de políticas públicas”</w:t>
      </w:r>
      <w:r>
        <w:rPr>
          <w:rFonts w:ascii="Times New Roman" w:eastAsia="Times New Roman" w:hAnsi="Times New Roman" w:cs="Times New Roman"/>
          <w:sz w:val="24"/>
          <w:szCs w:val="24"/>
        </w:rPr>
        <w:t xml:space="preserve"> (MERCOSUR, 2018), sendo ressaltado ainda que:</w:t>
      </w:r>
    </w:p>
    <w:p w14:paraId="00000039" w14:textId="77777777" w:rsidR="00C3703E" w:rsidRDefault="00C3703E" w:rsidP="009562D1">
      <w:pPr>
        <w:spacing w:line="360" w:lineRule="auto"/>
        <w:ind w:left="2267"/>
        <w:jc w:val="both"/>
        <w:rPr>
          <w:rFonts w:ascii="Times New Roman" w:eastAsia="Times New Roman" w:hAnsi="Times New Roman" w:cs="Times New Roman"/>
          <w:sz w:val="20"/>
          <w:szCs w:val="20"/>
        </w:rPr>
        <w:pPrChange w:id="83" w:author="Autor">
          <w:pPr>
            <w:spacing w:line="240" w:lineRule="auto"/>
            <w:ind w:left="2267"/>
            <w:jc w:val="both"/>
          </w:pPr>
        </w:pPrChange>
      </w:pPr>
    </w:p>
    <w:p w14:paraId="0000003A" w14:textId="77777777" w:rsidR="00C3703E" w:rsidRDefault="00077BC5" w:rsidP="009562D1">
      <w:pPr>
        <w:spacing w:line="360" w:lineRule="auto"/>
        <w:ind w:left="2267"/>
        <w:jc w:val="both"/>
        <w:rPr>
          <w:rFonts w:ascii="Times New Roman" w:eastAsia="Times New Roman" w:hAnsi="Times New Roman" w:cs="Times New Roman"/>
          <w:sz w:val="20"/>
          <w:szCs w:val="20"/>
        </w:rPr>
        <w:pPrChange w:id="84" w:author="Autor">
          <w:pPr>
            <w:spacing w:line="240" w:lineRule="auto"/>
            <w:ind w:left="2267"/>
            <w:jc w:val="both"/>
          </w:pPr>
        </w:pPrChange>
      </w:pPr>
      <w:r>
        <w:rPr>
          <w:rFonts w:ascii="Times New Roman" w:eastAsia="Times New Roman" w:hAnsi="Times New Roman" w:cs="Times New Roman"/>
          <w:sz w:val="20"/>
          <w:szCs w:val="20"/>
        </w:rPr>
        <w:t>os Estados-Partes do Merc</w:t>
      </w:r>
      <w:r>
        <w:rPr>
          <w:rFonts w:ascii="Times New Roman" w:eastAsia="Times New Roman" w:hAnsi="Times New Roman" w:cs="Times New Roman"/>
          <w:sz w:val="20"/>
          <w:szCs w:val="20"/>
        </w:rPr>
        <w:t>osul, além de membros integrantes da Organização das Nações Unidas (ONU) e da Organização dos Estados Americanos (OEA) são também todos ratificantes do Pacto de Direitos Civis e Políticos, do Pacto de Direitos Econômicos, Sociais e Culturais e também da Co</w:t>
      </w:r>
      <w:r>
        <w:rPr>
          <w:rFonts w:ascii="Times New Roman" w:eastAsia="Times New Roman" w:hAnsi="Times New Roman" w:cs="Times New Roman"/>
          <w:sz w:val="20"/>
          <w:szCs w:val="20"/>
        </w:rPr>
        <w:t>nvenção Interamericana de Direitos Humanos (Pacto de San José da Costa Rica), além de aceitar a jurisdição da Corte Interamericana de Direitos Humanos, o que corrobora a argumentação jurídica no sentido de que a integração almejada pelas Altas Partes Contr</w:t>
      </w:r>
      <w:r>
        <w:rPr>
          <w:rFonts w:ascii="Times New Roman" w:eastAsia="Times New Roman" w:hAnsi="Times New Roman" w:cs="Times New Roman"/>
          <w:sz w:val="20"/>
          <w:szCs w:val="20"/>
        </w:rPr>
        <w:t>atantes no Tratado de Assunção deve contemplar o respeito aos direitos humanos. (ALMEIDA, 2014, p. 239-240)</w:t>
      </w:r>
    </w:p>
    <w:p w14:paraId="0000003B" w14:textId="77777777" w:rsidR="00C3703E" w:rsidRDefault="00C3703E" w:rsidP="009562D1">
      <w:pPr>
        <w:spacing w:line="360" w:lineRule="auto"/>
        <w:ind w:left="2267"/>
        <w:jc w:val="both"/>
        <w:rPr>
          <w:rFonts w:ascii="Times New Roman" w:eastAsia="Times New Roman" w:hAnsi="Times New Roman" w:cs="Times New Roman"/>
          <w:sz w:val="20"/>
          <w:szCs w:val="20"/>
        </w:rPr>
        <w:pPrChange w:id="85" w:author="Autor">
          <w:pPr>
            <w:spacing w:line="240" w:lineRule="auto"/>
            <w:ind w:left="2267"/>
            <w:jc w:val="both"/>
          </w:pPr>
        </w:pPrChange>
      </w:pPr>
    </w:p>
    <w:p w14:paraId="0000003C" w14:textId="77777777" w:rsidR="00C3703E" w:rsidRDefault="00077BC5" w:rsidP="009562D1">
      <w:pPr>
        <w:spacing w:line="360" w:lineRule="auto"/>
        <w:jc w:val="both"/>
        <w:rPr>
          <w:rFonts w:ascii="Times New Roman" w:eastAsia="Times New Roman" w:hAnsi="Times New Roman" w:cs="Times New Roman"/>
          <w:sz w:val="24"/>
          <w:szCs w:val="24"/>
        </w:rPr>
        <w:pPrChange w:id="86" w:author="Autor">
          <w:pPr>
            <w:spacing w:line="240" w:lineRule="auto"/>
            <w:jc w:val="both"/>
          </w:pPr>
        </w:pPrChange>
      </w:pPr>
      <w:r>
        <w:rPr>
          <w:rFonts w:ascii="Times New Roman" w:eastAsia="Times New Roman" w:hAnsi="Times New Roman" w:cs="Times New Roman"/>
          <w:sz w:val="24"/>
          <w:szCs w:val="24"/>
        </w:rPr>
        <w:t>Se firmam deste modo os Direitos Humanos como eixo fundamental aos debates de integração latino-americanistas, em especial aos estudos que buscam f</w:t>
      </w:r>
      <w:r>
        <w:rPr>
          <w:rFonts w:ascii="Times New Roman" w:eastAsia="Times New Roman" w:hAnsi="Times New Roman" w:cs="Times New Roman"/>
          <w:sz w:val="24"/>
          <w:szCs w:val="24"/>
        </w:rPr>
        <w:t>ortalecer o MERCOSUL e sua agenda econômico-social, afirmativa que se ressalta ao observar os termos da Carta de Buenos Aires sobre Compromisso Social no bloco, bem como Bolívia e Chile.</w:t>
      </w:r>
    </w:p>
    <w:p w14:paraId="0000003D" w14:textId="77777777" w:rsidR="00C3703E" w:rsidRDefault="00077BC5" w:rsidP="009562D1">
      <w:pPr>
        <w:spacing w:line="360" w:lineRule="auto"/>
        <w:jc w:val="both"/>
        <w:rPr>
          <w:rFonts w:ascii="Times New Roman" w:eastAsia="Times New Roman" w:hAnsi="Times New Roman" w:cs="Times New Roman"/>
          <w:sz w:val="24"/>
          <w:szCs w:val="24"/>
        </w:rPr>
        <w:pPrChange w:id="87" w:author="Autor">
          <w:pPr>
            <w:spacing w:line="240" w:lineRule="auto"/>
            <w:jc w:val="both"/>
          </w:pPr>
        </w:pPrChange>
      </w:pPr>
      <w:r>
        <w:rPr>
          <w:rFonts w:ascii="Times New Roman" w:eastAsia="Times New Roman" w:hAnsi="Times New Roman" w:cs="Times New Roman"/>
          <w:sz w:val="24"/>
          <w:szCs w:val="24"/>
        </w:rPr>
        <w:t xml:space="preserve">Firmada em 30 de junho de 2000, a </w:t>
      </w:r>
      <w:commentRangeStart w:id="88"/>
      <w:r>
        <w:rPr>
          <w:rFonts w:ascii="Times New Roman" w:eastAsia="Times New Roman" w:hAnsi="Times New Roman" w:cs="Times New Roman"/>
          <w:sz w:val="24"/>
          <w:szCs w:val="24"/>
        </w:rPr>
        <w:t>carta</w:t>
      </w:r>
      <w:commentRangeEnd w:id="88"/>
      <w:r w:rsidR="00916184">
        <w:rPr>
          <w:rStyle w:val="Refdecomentrio"/>
        </w:rPr>
        <w:commentReference w:id="88"/>
      </w:r>
      <w:r>
        <w:rPr>
          <w:rFonts w:ascii="Times New Roman" w:eastAsia="Times New Roman" w:hAnsi="Times New Roman" w:cs="Times New Roman"/>
          <w:sz w:val="24"/>
          <w:szCs w:val="24"/>
        </w:rPr>
        <w:t xml:space="preserve"> se apresenta com o propósito </w:t>
      </w:r>
      <w:r>
        <w:rPr>
          <w:rFonts w:ascii="Times New Roman" w:eastAsia="Times New Roman" w:hAnsi="Times New Roman" w:cs="Times New Roman"/>
          <w:sz w:val="24"/>
          <w:szCs w:val="24"/>
        </w:rPr>
        <w:t>de contribuir para um maior bem estar e igualdade social, a través de um desenvolvimento econômico equilibrado e justo, considerando prioritário para os processos de integração aprofundar a dimensão social do MERCOSUL, sendo que, por meio dela:</w:t>
      </w:r>
    </w:p>
    <w:p w14:paraId="0000003E" w14:textId="77777777" w:rsidR="00C3703E" w:rsidRDefault="00C3703E" w:rsidP="009562D1">
      <w:pPr>
        <w:spacing w:line="360" w:lineRule="auto"/>
        <w:ind w:left="2267"/>
        <w:jc w:val="both"/>
        <w:rPr>
          <w:rFonts w:ascii="Times New Roman" w:eastAsia="Times New Roman" w:hAnsi="Times New Roman" w:cs="Times New Roman"/>
          <w:sz w:val="20"/>
          <w:szCs w:val="20"/>
        </w:rPr>
        <w:pPrChange w:id="89" w:author="Autor">
          <w:pPr>
            <w:spacing w:line="240" w:lineRule="auto"/>
            <w:ind w:left="2267"/>
            <w:jc w:val="both"/>
          </w:pPr>
        </w:pPrChange>
      </w:pPr>
    </w:p>
    <w:p w14:paraId="0000003F" w14:textId="77777777" w:rsidR="00C3703E" w:rsidRDefault="00077BC5" w:rsidP="009562D1">
      <w:pPr>
        <w:spacing w:line="360" w:lineRule="auto"/>
        <w:ind w:left="2267"/>
        <w:jc w:val="both"/>
        <w:rPr>
          <w:rFonts w:ascii="Times New Roman" w:eastAsia="Times New Roman" w:hAnsi="Times New Roman" w:cs="Times New Roman"/>
          <w:sz w:val="20"/>
          <w:szCs w:val="20"/>
        </w:rPr>
        <w:pPrChange w:id="90" w:author="Autor">
          <w:pPr>
            <w:spacing w:line="240" w:lineRule="auto"/>
            <w:ind w:left="2267"/>
            <w:jc w:val="both"/>
          </w:pPr>
        </w:pPrChange>
      </w:pPr>
      <w:r>
        <w:rPr>
          <w:rFonts w:ascii="Times New Roman" w:eastAsia="Times New Roman" w:hAnsi="Times New Roman" w:cs="Times New Roman"/>
          <w:sz w:val="20"/>
          <w:szCs w:val="20"/>
        </w:rPr>
        <w:t>os Preside</w:t>
      </w:r>
      <w:r>
        <w:rPr>
          <w:rFonts w:ascii="Times New Roman" w:eastAsia="Times New Roman" w:hAnsi="Times New Roman" w:cs="Times New Roman"/>
          <w:sz w:val="20"/>
          <w:szCs w:val="20"/>
        </w:rPr>
        <w:t>ntes dos Países do MERCOSUL, Bolívia e Chile se comprometeram a intensificar os esforços de seus Governos para melhorar a qualidade de vida de seus respectivos países e na região, mediante a atenção prioritária aos setores mais desprotegidos da população e</w:t>
      </w:r>
      <w:r>
        <w:rPr>
          <w:rFonts w:ascii="Times New Roman" w:eastAsia="Times New Roman" w:hAnsi="Times New Roman" w:cs="Times New Roman"/>
          <w:sz w:val="20"/>
          <w:szCs w:val="20"/>
        </w:rPr>
        <w:t>m matéria de alimentação, saúde, emprego, habitação e educação</w:t>
      </w:r>
      <w:r>
        <w:rPr>
          <w:rFonts w:ascii="Times New Roman" w:eastAsia="Times New Roman" w:hAnsi="Times New Roman" w:cs="Times New Roman"/>
          <w:sz w:val="20"/>
          <w:szCs w:val="20"/>
          <w:vertAlign w:val="superscript"/>
        </w:rPr>
        <w:footnoteReference w:id="2"/>
      </w:r>
      <w:r>
        <w:rPr>
          <w:rFonts w:ascii="Times New Roman" w:eastAsia="Times New Roman" w:hAnsi="Times New Roman" w:cs="Times New Roman"/>
          <w:sz w:val="20"/>
          <w:szCs w:val="20"/>
        </w:rPr>
        <w:t xml:space="preserve"> (MERCOSUL, 2018a)</w:t>
      </w:r>
    </w:p>
    <w:p w14:paraId="00000040" w14:textId="77777777" w:rsidR="00C3703E" w:rsidRDefault="00C3703E" w:rsidP="009562D1">
      <w:pPr>
        <w:spacing w:line="360" w:lineRule="auto"/>
        <w:jc w:val="both"/>
        <w:rPr>
          <w:rFonts w:ascii="Times New Roman" w:eastAsia="Times New Roman" w:hAnsi="Times New Roman" w:cs="Times New Roman"/>
          <w:sz w:val="24"/>
          <w:szCs w:val="24"/>
        </w:rPr>
        <w:pPrChange w:id="91" w:author="Autor">
          <w:pPr>
            <w:spacing w:line="240" w:lineRule="auto"/>
            <w:jc w:val="both"/>
          </w:pPr>
        </w:pPrChange>
      </w:pPr>
    </w:p>
    <w:p w14:paraId="00000041" w14:textId="77777777" w:rsidR="00C3703E" w:rsidRDefault="00077BC5" w:rsidP="009562D1">
      <w:pPr>
        <w:spacing w:line="360" w:lineRule="auto"/>
        <w:jc w:val="both"/>
        <w:rPr>
          <w:rFonts w:ascii="Times New Roman" w:eastAsia="Times New Roman" w:hAnsi="Times New Roman" w:cs="Times New Roman"/>
          <w:sz w:val="24"/>
          <w:szCs w:val="24"/>
        </w:rPr>
        <w:pPrChange w:id="92" w:author="Autor">
          <w:pPr>
            <w:spacing w:line="240" w:lineRule="auto"/>
            <w:jc w:val="both"/>
          </w:pPr>
        </w:pPrChange>
      </w:pPr>
      <w:r>
        <w:rPr>
          <w:rFonts w:ascii="Times New Roman" w:eastAsia="Times New Roman" w:hAnsi="Times New Roman" w:cs="Times New Roman"/>
          <w:sz w:val="24"/>
          <w:szCs w:val="24"/>
        </w:rPr>
        <w:t>A melhora na qualidade de vida nos países do bloco, e da região, traz ao debate a realidade dos indivíduos e da população de cada estado, sujeitos neste processo de integraç</w:t>
      </w:r>
      <w:r>
        <w:rPr>
          <w:rFonts w:ascii="Times New Roman" w:eastAsia="Times New Roman" w:hAnsi="Times New Roman" w:cs="Times New Roman"/>
          <w:sz w:val="24"/>
          <w:szCs w:val="24"/>
        </w:rPr>
        <w:t>ão, em especial ao se comprometerem os estados a atenção prioritária aos setores mais desprotegidos socialmente.</w:t>
      </w:r>
    </w:p>
    <w:p w14:paraId="00000042" w14:textId="77777777" w:rsidR="00C3703E" w:rsidRDefault="00077BC5" w:rsidP="009562D1">
      <w:pPr>
        <w:spacing w:line="360" w:lineRule="auto"/>
        <w:jc w:val="both"/>
        <w:rPr>
          <w:rFonts w:ascii="Times New Roman" w:eastAsia="Times New Roman" w:hAnsi="Times New Roman" w:cs="Times New Roman"/>
          <w:sz w:val="24"/>
          <w:szCs w:val="24"/>
        </w:rPr>
        <w:pPrChange w:id="93" w:author="Autor">
          <w:pPr>
            <w:spacing w:line="240" w:lineRule="auto"/>
            <w:jc w:val="both"/>
          </w:pPr>
        </w:pPrChange>
      </w:pPr>
      <w:r>
        <w:rPr>
          <w:rFonts w:ascii="Times New Roman" w:eastAsia="Times New Roman" w:hAnsi="Times New Roman" w:cs="Times New Roman"/>
          <w:sz w:val="24"/>
          <w:szCs w:val="24"/>
        </w:rPr>
        <w:t>É aqui que temáticas vinculadas à sexualidade/gênero, já integrantes dos debates de Direitos Humanos, ingressam na esfera do direito da integra</w:t>
      </w:r>
      <w:r>
        <w:rPr>
          <w:rFonts w:ascii="Times New Roman" w:eastAsia="Times New Roman" w:hAnsi="Times New Roman" w:cs="Times New Roman"/>
          <w:sz w:val="24"/>
          <w:szCs w:val="24"/>
        </w:rPr>
        <w:t>ção, se apresentando como possíveis desafios e objetivos estratégicos do MERCOSUL, pois ainda nos termos do texto da Carta de Buenos Aires:</w:t>
      </w:r>
    </w:p>
    <w:p w14:paraId="00000043" w14:textId="77777777" w:rsidR="00C3703E" w:rsidRDefault="00077BC5" w:rsidP="009562D1">
      <w:pPr>
        <w:spacing w:line="360" w:lineRule="auto"/>
        <w:ind w:left="2267"/>
        <w:jc w:val="both"/>
        <w:rPr>
          <w:rFonts w:ascii="Times New Roman" w:eastAsia="Times New Roman" w:hAnsi="Times New Roman" w:cs="Times New Roman"/>
          <w:sz w:val="20"/>
          <w:szCs w:val="20"/>
        </w:rPr>
        <w:pPrChange w:id="94" w:author="Autor">
          <w:pPr>
            <w:spacing w:line="240" w:lineRule="auto"/>
            <w:ind w:left="2267"/>
            <w:jc w:val="both"/>
          </w:pPr>
        </w:pPrChange>
      </w:pPr>
      <w:r>
        <w:rPr>
          <w:rFonts w:ascii="Times New Roman" w:eastAsia="Times New Roman" w:hAnsi="Times New Roman" w:cs="Times New Roman"/>
          <w:sz w:val="20"/>
          <w:szCs w:val="20"/>
        </w:rPr>
        <w:t>Fortalecer os mecanismos de apoio a grupos sociais mais afetados, dando prioridade aos campos da nutrição, com atenç</w:t>
      </w:r>
      <w:r>
        <w:rPr>
          <w:rFonts w:ascii="Times New Roman" w:eastAsia="Times New Roman" w:hAnsi="Times New Roman" w:cs="Times New Roman"/>
          <w:sz w:val="20"/>
          <w:szCs w:val="20"/>
        </w:rPr>
        <w:t>ão especial a infância, a juventude, a terceira idade, as mulheres chefes de família e mães menores de idade, (...) e outros grupos sociais vulneráveis. (...) Zelar pelo estrito cumprimento das respectivas normas legais que proíbem a discriminação e resgua</w:t>
      </w:r>
      <w:r>
        <w:rPr>
          <w:rFonts w:ascii="Times New Roman" w:eastAsia="Times New Roman" w:hAnsi="Times New Roman" w:cs="Times New Roman"/>
          <w:sz w:val="20"/>
          <w:szCs w:val="20"/>
        </w:rPr>
        <w:t>rdam a efetiva igualdade de direitos, tratamento e oportunidades para todos, sem distinção ou exclusão de nenhum tipo. Promover o crescimento de suas sociedades fundado na igualdade entre mulheres e homens na vida social, política, econômica e cultural, co</w:t>
      </w:r>
      <w:r>
        <w:rPr>
          <w:rFonts w:ascii="Times New Roman" w:eastAsia="Times New Roman" w:hAnsi="Times New Roman" w:cs="Times New Roman"/>
          <w:sz w:val="20"/>
          <w:szCs w:val="20"/>
        </w:rPr>
        <w:t>nforme uma concepção de cidadania que amplie os direitos das mulheres e afirme a responsabilidade compartilhada entre ambos. (...) Desenvolver política que promovam um tipo de sociedade não excludente (MERCOSUL, 2000).</w:t>
      </w:r>
      <w:r>
        <w:rPr>
          <w:rFonts w:ascii="Times New Roman" w:eastAsia="Times New Roman" w:hAnsi="Times New Roman" w:cs="Times New Roman"/>
          <w:sz w:val="20"/>
          <w:szCs w:val="20"/>
          <w:vertAlign w:val="superscript"/>
        </w:rPr>
        <w:footnoteReference w:id="3"/>
      </w:r>
    </w:p>
    <w:p w14:paraId="00000044" w14:textId="77777777" w:rsidR="00C3703E" w:rsidRDefault="00C3703E" w:rsidP="009562D1">
      <w:pPr>
        <w:spacing w:line="360" w:lineRule="auto"/>
        <w:ind w:left="2267"/>
        <w:jc w:val="both"/>
        <w:rPr>
          <w:rFonts w:ascii="Times New Roman" w:eastAsia="Times New Roman" w:hAnsi="Times New Roman" w:cs="Times New Roman"/>
          <w:sz w:val="20"/>
          <w:szCs w:val="20"/>
        </w:rPr>
        <w:pPrChange w:id="95" w:author="Autor">
          <w:pPr>
            <w:spacing w:line="240" w:lineRule="auto"/>
            <w:ind w:left="2267"/>
            <w:jc w:val="both"/>
          </w:pPr>
        </w:pPrChange>
      </w:pPr>
    </w:p>
    <w:p w14:paraId="00000045" w14:textId="77777777" w:rsidR="00C3703E" w:rsidRDefault="00077BC5" w:rsidP="009562D1">
      <w:pPr>
        <w:spacing w:line="360" w:lineRule="auto"/>
        <w:jc w:val="both"/>
        <w:rPr>
          <w:rFonts w:ascii="Times New Roman" w:eastAsia="Times New Roman" w:hAnsi="Times New Roman" w:cs="Times New Roman"/>
          <w:sz w:val="24"/>
          <w:szCs w:val="24"/>
        </w:rPr>
        <w:pPrChange w:id="96" w:author="Autor">
          <w:pPr>
            <w:spacing w:line="240" w:lineRule="auto"/>
            <w:jc w:val="both"/>
          </w:pPr>
        </w:pPrChange>
      </w:pPr>
      <w:r>
        <w:rPr>
          <w:rFonts w:ascii="Times New Roman" w:eastAsia="Times New Roman" w:hAnsi="Times New Roman" w:cs="Times New Roman"/>
          <w:sz w:val="24"/>
          <w:szCs w:val="24"/>
        </w:rPr>
        <w:t>Deste modo, refletir acerca de desigualdades baseadas no gênero e historicamente construídas, bem como vulnerabilidades sociais a que se expõem cidadãos LGBT (Lésbicas, Gays, Bissexuais, Travestis, Transsexuais e Transgeneros)</w:t>
      </w:r>
      <w:r>
        <w:rPr>
          <w:rFonts w:ascii="Times New Roman" w:eastAsia="Times New Roman" w:hAnsi="Times New Roman" w:cs="Times New Roman"/>
          <w:sz w:val="24"/>
          <w:szCs w:val="24"/>
          <w:vertAlign w:val="superscript"/>
        </w:rPr>
        <w:footnoteReference w:id="4"/>
      </w:r>
      <w:r>
        <w:rPr>
          <w:rFonts w:ascii="Times New Roman" w:eastAsia="Times New Roman" w:hAnsi="Times New Roman" w:cs="Times New Roman"/>
          <w:sz w:val="24"/>
          <w:szCs w:val="24"/>
        </w:rPr>
        <w:t xml:space="preserve"> podem compor parte desta age</w:t>
      </w:r>
      <w:r>
        <w:rPr>
          <w:rFonts w:ascii="Times New Roman" w:eastAsia="Times New Roman" w:hAnsi="Times New Roman" w:cs="Times New Roman"/>
          <w:sz w:val="24"/>
          <w:szCs w:val="24"/>
        </w:rPr>
        <w:t xml:space="preserve">nda para o desenvolvimento e integração do MERCOSUL, a fim de se promover o crescimento das sociedades que o compõem de modo igual entre todos. É sobre esta tarefa que nos dedicamos </w:t>
      </w:r>
      <w:commentRangeStart w:id="97"/>
      <w:r>
        <w:rPr>
          <w:rFonts w:ascii="Times New Roman" w:eastAsia="Times New Roman" w:hAnsi="Times New Roman" w:cs="Times New Roman"/>
          <w:sz w:val="24"/>
          <w:szCs w:val="24"/>
        </w:rPr>
        <w:t>agora</w:t>
      </w:r>
      <w:commentRangeEnd w:id="97"/>
      <w:r w:rsidR="00916184">
        <w:rPr>
          <w:rStyle w:val="Refdecomentrio"/>
        </w:rPr>
        <w:commentReference w:id="97"/>
      </w:r>
      <w:r>
        <w:rPr>
          <w:rFonts w:ascii="Times New Roman" w:eastAsia="Times New Roman" w:hAnsi="Times New Roman" w:cs="Times New Roman"/>
          <w:sz w:val="24"/>
          <w:szCs w:val="24"/>
        </w:rPr>
        <w:t>.</w:t>
      </w:r>
    </w:p>
    <w:p w14:paraId="00000046" w14:textId="77777777" w:rsidR="00C3703E" w:rsidRDefault="00C3703E" w:rsidP="009562D1">
      <w:pPr>
        <w:spacing w:line="360" w:lineRule="auto"/>
        <w:jc w:val="both"/>
        <w:rPr>
          <w:rFonts w:ascii="Times New Roman" w:eastAsia="Times New Roman" w:hAnsi="Times New Roman" w:cs="Times New Roman"/>
          <w:sz w:val="24"/>
          <w:szCs w:val="24"/>
        </w:rPr>
        <w:pPrChange w:id="98" w:author="Autor">
          <w:pPr>
            <w:spacing w:line="240" w:lineRule="auto"/>
            <w:jc w:val="both"/>
          </w:pPr>
        </w:pPrChange>
      </w:pPr>
    </w:p>
    <w:p w14:paraId="00000047" w14:textId="77777777" w:rsidR="00C3703E" w:rsidRDefault="00077BC5" w:rsidP="009562D1">
      <w:pPr>
        <w:spacing w:line="360" w:lineRule="auto"/>
        <w:jc w:val="both"/>
        <w:rPr>
          <w:rFonts w:ascii="Times New Roman" w:eastAsia="Times New Roman" w:hAnsi="Times New Roman" w:cs="Times New Roman"/>
          <w:b/>
          <w:sz w:val="24"/>
          <w:szCs w:val="24"/>
        </w:rPr>
        <w:pPrChange w:id="99" w:author="Autor">
          <w:pPr>
            <w:spacing w:line="240" w:lineRule="auto"/>
            <w:jc w:val="both"/>
          </w:pPr>
        </w:pPrChange>
      </w:pPr>
      <w:r>
        <w:rPr>
          <w:rFonts w:ascii="Times New Roman" w:eastAsia="Times New Roman" w:hAnsi="Times New Roman" w:cs="Times New Roman"/>
          <w:b/>
          <w:sz w:val="24"/>
          <w:szCs w:val="24"/>
        </w:rPr>
        <w:t>4 CASOS CONCRETOS: GÊNERO, DIREITO E INTEGRAÇÃO SE CHOCAM</w:t>
      </w:r>
    </w:p>
    <w:p w14:paraId="00000048" w14:textId="77777777" w:rsidR="00C3703E" w:rsidRDefault="00C3703E" w:rsidP="009562D1">
      <w:pPr>
        <w:spacing w:line="360" w:lineRule="auto"/>
        <w:jc w:val="both"/>
        <w:rPr>
          <w:rFonts w:ascii="Times New Roman" w:eastAsia="Times New Roman" w:hAnsi="Times New Roman" w:cs="Times New Roman"/>
          <w:sz w:val="24"/>
          <w:szCs w:val="24"/>
        </w:rPr>
        <w:pPrChange w:id="100" w:author="Autor">
          <w:pPr>
            <w:spacing w:line="240" w:lineRule="auto"/>
            <w:jc w:val="both"/>
          </w:pPr>
        </w:pPrChange>
      </w:pPr>
    </w:p>
    <w:p w14:paraId="00000049" w14:textId="77777777" w:rsidR="00C3703E" w:rsidRDefault="00077BC5" w:rsidP="009562D1">
      <w:pPr>
        <w:spacing w:line="360" w:lineRule="auto"/>
        <w:jc w:val="both"/>
        <w:rPr>
          <w:rFonts w:ascii="Times New Roman" w:eastAsia="Times New Roman" w:hAnsi="Times New Roman" w:cs="Times New Roman"/>
          <w:sz w:val="24"/>
          <w:szCs w:val="24"/>
        </w:rPr>
        <w:pPrChange w:id="101" w:author="Autor">
          <w:pPr>
            <w:spacing w:line="240" w:lineRule="auto"/>
            <w:jc w:val="both"/>
          </w:pPr>
        </w:pPrChange>
      </w:pPr>
      <w:r>
        <w:rPr>
          <w:rFonts w:ascii="Times New Roman" w:eastAsia="Times New Roman" w:hAnsi="Times New Roman" w:cs="Times New Roman"/>
          <w:sz w:val="24"/>
          <w:szCs w:val="24"/>
        </w:rPr>
        <w:t>A proposta do presente trabalho é refletir a possibilidade de pautas de sexualidade e gênero se concretizarem como possíveis desafios à realização da integração profunda dentro dos estados que compõem o Mercosul, desafios que não inviabilizam o processo, m</w:t>
      </w:r>
      <w:r>
        <w:rPr>
          <w:rFonts w:ascii="Times New Roman" w:eastAsia="Times New Roman" w:hAnsi="Times New Roman" w:cs="Times New Roman"/>
          <w:sz w:val="24"/>
          <w:szCs w:val="24"/>
        </w:rPr>
        <w:t>as que quando considerados, poderão fortalecer a integração, por meio de perspectivas de Direitos Humanos. Se destaca assim a</w:t>
      </w:r>
    </w:p>
    <w:p w14:paraId="0000004A" w14:textId="77777777" w:rsidR="00C3703E" w:rsidRDefault="00077BC5" w:rsidP="009562D1">
      <w:pPr>
        <w:spacing w:line="360" w:lineRule="auto"/>
        <w:ind w:left="2267"/>
        <w:jc w:val="both"/>
        <w:rPr>
          <w:rFonts w:ascii="Times New Roman" w:eastAsia="Times New Roman" w:hAnsi="Times New Roman" w:cs="Times New Roman"/>
          <w:sz w:val="20"/>
          <w:szCs w:val="20"/>
        </w:rPr>
        <w:pPrChange w:id="102" w:author="Autor">
          <w:pPr>
            <w:spacing w:line="240" w:lineRule="auto"/>
            <w:ind w:left="2267"/>
            <w:jc w:val="both"/>
          </w:pPr>
        </w:pPrChange>
      </w:pPr>
      <w:r>
        <w:rPr>
          <w:rFonts w:ascii="Times New Roman" w:eastAsia="Times New Roman" w:hAnsi="Times New Roman" w:cs="Times New Roman"/>
          <w:sz w:val="20"/>
          <w:szCs w:val="20"/>
        </w:rPr>
        <w:t>relevância dada pelo sistema interamericano de Direitos Humanos ao combate de todas as formas de violências sofridas por mulheres,</w:t>
      </w:r>
      <w:r>
        <w:rPr>
          <w:rFonts w:ascii="Times New Roman" w:eastAsia="Times New Roman" w:hAnsi="Times New Roman" w:cs="Times New Roman"/>
          <w:sz w:val="20"/>
          <w:szCs w:val="20"/>
        </w:rPr>
        <w:t xml:space="preserve"> dentre elas em especial as sofridas no contexto doméstico/familiar enquanto questão de extrema relevância para o desenvolvimento social, econômico e cultural do continente e da América Latina. Sistema este que guiará, por meio de suas resoluções, decisões</w:t>
      </w:r>
      <w:r>
        <w:rPr>
          <w:rFonts w:ascii="Times New Roman" w:eastAsia="Times New Roman" w:hAnsi="Times New Roman" w:cs="Times New Roman"/>
          <w:sz w:val="20"/>
          <w:szCs w:val="20"/>
        </w:rPr>
        <w:t xml:space="preserve"> e recomendações, à aplicação jurídica dos Direitos Humanos em todos os países signatários. (MENCATO, 2017, p. 5)</w:t>
      </w:r>
    </w:p>
    <w:p w14:paraId="0000004B" w14:textId="77777777" w:rsidR="00C3703E" w:rsidRDefault="00C3703E" w:rsidP="009562D1">
      <w:pPr>
        <w:spacing w:line="360" w:lineRule="auto"/>
        <w:ind w:left="2267"/>
        <w:jc w:val="both"/>
        <w:rPr>
          <w:rFonts w:ascii="Times New Roman" w:eastAsia="Times New Roman" w:hAnsi="Times New Roman" w:cs="Times New Roman"/>
          <w:sz w:val="20"/>
          <w:szCs w:val="20"/>
        </w:rPr>
        <w:pPrChange w:id="103" w:author="Autor">
          <w:pPr>
            <w:spacing w:line="240" w:lineRule="auto"/>
            <w:ind w:left="2267"/>
            <w:jc w:val="both"/>
          </w:pPr>
        </w:pPrChange>
      </w:pPr>
    </w:p>
    <w:p w14:paraId="0000004C" w14:textId="77777777" w:rsidR="00C3703E" w:rsidRDefault="00077BC5" w:rsidP="009562D1">
      <w:pPr>
        <w:spacing w:line="360" w:lineRule="auto"/>
        <w:jc w:val="both"/>
        <w:rPr>
          <w:rFonts w:ascii="Times New Roman" w:eastAsia="Times New Roman" w:hAnsi="Times New Roman" w:cs="Times New Roman"/>
          <w:sz w:val="24"/>
          <w:szCs w:val="24"/>
        </w:rPr>
        <w:pPrChange w:id="104" w:author="Autor">
          <w:pPr>
            <w:spacing w:line="240" w:lineRule="auto"/>
            <w:jc w:val="both"/>
          </w:pPr>
        </w:pPrChange>
      </w:pPr>
      <w:r>
        <w:rPr>
          <w:rFonts w:ascii="Times New Roman" w:eastAsia="Times New Roman" w:hAnsi="Times New Roman" w:cs="Times New Roman"/>
          <w:sz w:val="24"/>
          <w:szCs w:val="24"/>
        </w:rPr>
        <w:t>O Sistema Interamericano de Direitos Humanos, composto pelos países integrantes do MERCOSUL, compreende o combate a todas as formas de violên</w:t>
      </w:r>
      <w:r>
        <w:rPr>
          <w:rFonts w:ascii="Times New Roman" w:eastAsia="Times New Roman" w:hAnsi="Times New Roman" w:cs="Times New Roman"/>
          <w:sz w:val="24"/>
          <w:szCs w:val="24"/>
        </w:rPr>
        <w:t>cia de gênero e sexualidade como foco de debate a fim de se atingir o desenvolvimento econômico, social e cultural da região. Violências domésticas e familiares, sofridas em sua grande maioria por mulheres, entram então como possível problemática a ser pon</w:t>
      </w:r>
      <w:r>
        <w:rPr>
          <w:rFonts w:ascii="Times New Roman" w:eastAsia="Times New Roman" w:hAnsi="Times New Roman" w:cs="Times New Roman"/>
          <w:sz w:val="24"/>
          <w:szCs w:val="24"/>
        </w:rPr>
        <w:t>derada.</w:t>
      </w:r>
    </w:p>
    <w:p w14:paraId="0000004D" w14:textId="77777777" w:rsidR="00C3703E" w:rsidRDefault="00077BC5" w:rsidP="009562D1">
      <w:pPr>
        <w:spacing w:line="360" w:lineRule="auto"/>
        <w:jc w:val="both"/>
        <w:rPr>
          <w:rFonts w:ascii="Times New Roman" w:eastAsia="Times New Roman" w:hAnsi="Times New Roman" w:cs="Times New Roman"/>
          <w:sz w:val="24"/>
          <w:szCs w:val="24"/>
        </w:rPr>
        <w:pPrChange w:id="105" w:author="Autor">
          <w:pPr>
            <w:spacing w:line="240" w:lineRule="auto"/>
            <w:jc w:val="both"/>
          </w:pPr>
        </w:pPrChange>
      </w:pPr>
      <w:r>
        <w:rPr>
          <w:rFonts w:ascii="Times New Roman" w:eastAsia="Times New Roman" w:hAnsi="Times New Roman" w:cs="Times New Roman"/>
          <w:sz w:val="24"/>
          <w:szCs w:val="24"/>
        </w:rPr>
        <w:t>Compreendendo a relevância da temática se formulou dentro da Reunião de Ministras e Altas Autoridades da Mulher (RMAAM) uma proposta de política de igualdade de gênero no MERCOSUL, denominada Diretrizes da política de igualdade de gênero do bloco a</w:t>
      </w:r>
      <w:r>
        <w:rPr>
          <w:rFonts w:ascii="Times New Roman" w:eastAsia="Times New Roman" w:hAnsi="Times New Roman" w:cs="Times New Roman"/>
          <w:sz w:val="24"/>
          <w:szCs w:val="24"/>
        </w:rPr>
        <w:t>presentando: “</w:t>
      </w:r>
      <w:r>
        <w:rPr>
          <w:rFonts w:ascii="Times New Roman" w:eastAsia="Times New Roman" w:hAnsi="Times New Roman" w:cs="Times New Roman"/>
          <w:i/>
          <w:sz w:val="24"/>
          <w:szCs w:val="24"/>
        </w:rPr>
        <w:t>Que os processos de integração regional em suas diferentes dimensões têm impacto diferenciado sobre mulheres e homens, sendo que a integração econômica, social e produtiva não deve gerar ou agravar desigualdades nas estruturas da sociedade</w:t>
      </w:r>
      <w:r>
        <w:rPr>
          <w:rFonts w:ascii="Times New Roman" w:eastAsia="Times New Roman" w:hAnsi="Times New Roman" w:cs="Times New Roman"/>
          <w:sz w:val="24"/>
          <w:szCs w:val="24"/>
        </w:rPr>
        <w:t>” (</w:t>
      </w:r>
      <w:r>
        <w:rPr>
          <w:rFonts w:ascii="Times New Roman" w:eastAsia="Times New Roman" w:hAnsi="Times New Roman" w:cs="Times New Roman"/>
          <w:sz w:val="24"/>
          <w:szCs w:val="24"/>
        </w:rPr>
        <w:t>SICE OAS, 2014).</w:t>
      </w:r>
    </w:p>
    <w:p w14:paraId="0000004E" w14:textId="77777777" w:rsidR="00C3703E" w:rsidRDefault="00077BC5" w:rsidP="009562D1">
      <w:pPr>
        <w:spacing w:line="360" w:lineRule="auto"/>
        <w:jc w:val="both"/>
        <w:rPr>
          <w:rFonts w:ascii="Times New Roman" w:eastAsia="Times New Roman" w:hAnsi="Times New Roman" w:cs="Times New Roman"/>
          <w:sz w:val="24"/>
          <w:szCs w:val="24"/>
        </w:rPr>
        <w:pPrChange w:id="106" w:author="Autor">
          <w:pPr>
            <w:spacing w:line="240" w:lineRule="auto"/>
            <w:jc w:val="both"/>
          </w:pPr>
        </w:pPrChange>
      </w:pPr>
      <w:r>
        <w:rPr>
          <w:rFonts w:ascii="Times New Roman" w:eastAsia="Times New Roman" w:hAnsi="Times New Roman" w:cs="Times New Roman"/>
          <w:sz w:val="24"/>
          <w:szCs w:val="24"/>
        </w:rPr>
        <w:t>Se defende, e entende pela diretriz acima referida que as dimensões institucionais e de políticas regionais deverão buscar garantir igualdade/equidade entre homens e mulheres no processo de integração. Se entendendo por igualdade uma situa</w:t>
      </w:r>
      <w:r>
        <w:rPr>
          <w:rFonts w:ascii="Times New Roman" w:eastAsia="Times New Roman" w:hAnsi="Times New Roman" w:cs="Times New Roman"/>
          <w:sz w:val="24"/>
          <w:szCs w:val="24"/>
        </w:rPr>
        <w:t xml:space="preserve">ção social onde o gênero não seja impeditivo ao alcance das mesmas possibilidades e oportunidades de controle de recursos e bens </w:t>
      </w:r>
      <w:commentRangeStart w:id="107"/>
      <w:r>
        <w:rPr>
          <w:rFonts w:ascii="Times New Roman" w:eastAsia="Times New Roman" w:hAnsi="Times New Roman" w:cs="Times New Roman"/>
          <w:sz w:val="24"/>
          <w:szCs w:val="24"/>
        </w:rPr>
        <w:t>sociais</w:t>
      </w:r>
      <w:commentRangeEnd w:id="107"/>
      <w:r w:rsidR="000F71D5">
        <w:rPr>
          <w:rStyle w:val="Refdecomentrio"/>
        </w:rPr>
        <w:commentReference w:id="107"/>
      </w:r>
      <w:r>
        <w:rPr>
          <w:rFonts w:ascii="Times New Roman" w:eastAsia="Times New Roman" w:hAnsi="Times New Roman" w:cs="Times New Roman"/>
          <w:sz w:val="24"/>
          <w:szCs w:val="24"/>
        </w:rPr>
        <w:t>.</w:t>
      </w:r>
    </w:p>
    <w:p w14:paraId="0000004F" w14:textId="77777777" w:rsidR="00C3703E" w:rsidRDefault="00077BC5" w:rsidP="009562D1">
      <w:pPr>
        <w:spacing w:line="360" w:lineRule="auto"/>
        <w:jc w:val="both"/>
        <w:rPr>
          <w:rFonts w:ascii="Times New Roman" w:eastAsia="Times New Roman" w:hAnsi="Times New Roman" w:cs="Times New Roman"/>
          <w:sz w:val="24"/>
          <w:szCs w:val="24"/>
        </w:rPr>
        <w:pPrChange w:id="108" w:author="Autor">
          <w:pPr>
            <w:spacing w:line="240" w:lineRule="auto"/>
            <w:jc w:val="both"/>
          </w:pPr>
        </w:pPrChange>
      </w:pPr>
      <w:r>
        <w:rPr>
          <w:rFonts w:ascii="Times New Roman" w:eastAsia="Times New Roman" w:hAnsi="Times New Roman" w:cs="Times New Roman"/>
          <w:sz w:val="24"/>
          <w:szCs w:val="24"/>
        </w:rPr>
        <w:t>Por sua vez, equidade está concebida como o tratamento imparcial, onde características de gênero não sejam justificant</w:t>
      </w:r>
      <w:r>
        <w:rPr>
          <w:rFonts w:ascii="Times New Roman" w:eastAsia="Times New Roman" w:hAnsi="Times New Roman" w:cs="Times New Roman"/>
          <w:sz w:val="24"/>
          <w:szCs w:val="24"/>
        </w:rPr>
        <w:t>es de desigualdades, quer seja expresso como tratamento equitativo, dando tratamentos iguais, ou como tratamento diferenciado, necessário conforme necessidades específicas nas mais diversas formas de relação social, sejam trabalhistas, econômicas, culturai</w:t>
      </w:r>
      <w:r>
        <w:rPr>
          <w:rFonts w:ascii="Times New Roman" w:eastAsia="Times New Roman" w:hAnsi="Times New Roman" w:cs="Times New Roman"/>
          <w:sz w:val="24"/>
          <w:szCs w:val="24"/>
        </w:rPr>
        <w:t>s, familiares.</w:t>
      </w:r>
    </w:p>
    <w:p w14:paraId="00000050" w14:textId="77777777" w:rsidR="00C3703E" w:rsidRDefault="00077BC5" w:rsidP="009562D1">
      <w:pPr>
        <w:spacing w:line="360" w:lineRule="auto"/>
        <w:jc w:val="both"/>
        <w:rPr>
          <w:rFonts w:ascii="Times New Roman" w:eastAsia="Times New Roman" w:hAnsi="Times New Roman" w:cs="Times New Roman"/>
          <w:sz w:val="24"/>
          <w:szCs w:val="24"/>
        </w:rPr>
        <w:pPrChange w:id="109" w:author="Autor">
          <w:pPr>
            <w:spacing w:line="240" w:lineRule="auto"/>
            <w:jc w:val="both"/>
          </w:pPr>
        </w:pPrChange>
      </w:pPr>
      <w:r>
        <w:rPr>
          <w:rFonts w:ascii="Times New Roman" w:eastAsia="Times New Roman" w:hAnsi="Times New Roman" w:cs="Times New Roman"/>
          <w:sz w:val="24"/>
          <w:szCs w:val="24"/>
        </w:rPr>
        <w:t>O objetivo da política de igualdade de gênero do MERCOSUL parece assim confluir com uma perspectiva feminista dos Direitos humanos, a fim de assentar as bases da igualdade e não discriminação das mulheres na região. Se tem deste modo a trans</w:t>
      </w:r>
      <w:r>
        <w:rPr>
          <w:rFonts w:ascii="Times New Roman" w:eastAsia="Times New Roman" w:hAnsi="Times New Roman" w:cs="Times New Roman"/>
          <w:sz w:val="24"/>
          <w:szCs w:val="24"/>
        </w:rPr>
        <w:t>versalização do enfoque de gênero nas políticas, ações e projetos regionais, bem como na gestão organizacional e a definição de políticas voltadas para a equidade por meio do estabelecimento de relações igualitárias de gênero no bloco.</w:t>
      </w:r>
    </w:p>
    <w:p w14:paraId="00000051" w14:textId="77777777" w:rsidR="00C3703E" w:rsidRDefault="00077BC5" w:rsidP="009562D1">
      <w:pPr>
        <w:spacing w:line="360" w:lineRule="auto"/>
        <w:jc w:val="both"/>
        <w:rPr>
          <w:rFonts w:ascii="Times New Roman" w:eastAsia="Times New Roman" w:hAnsi="Times New Roman" w:cs="Times New Roman"/>
          <w:sz w:val="24"/>
          <w:szCs w:val="24"/>
        </w:rPr>
        <w:pPrChange w:id="110" w:author="Autor">
          <w:pPr>
            <w:spacing w:line="240" w:lineRule="auto"/>
            <w:jc w:val="both"/>
          </w:pPr>
        </w:pPrChange>
      </w:pPr>
      <w:r>
        <w:rPr>
          <w:rFonts w:ascii="Times New Roman" w:eastAsia="Times New Roman" w:hAnsi="Times New Roman" w:cs="Times New Roman"/>
          <w:sz w:val="24"/>
          <w:szCs w:val="24"/>
        </w:rPr>
        <w:t>Temáticas de sexuali</w:t>
      </w:r>
      <w:r>
        <w:rPr>
          <w:rFonts w:ascii="Times New Roman" w:eastAsia="Times New Roman" w:hAnsi="Times New Roman" w:cs="Times New Roman"/>
          <w:sz w:val="24"/>
          <w:szCs w:val="24"/>
        </w:rPr>
        <w:t>dade d</w:t>
      </w:r>
      <w:r w:rsidRPr="009562D1">
        <w:rPr>
          <w:rFonts w:ascii="Times New Roman" w:eastAsia="Times New Roman" w:hAnsi="Times New Roman" w:cs="Times New Roman"/>
          <w:sz w:val="24"/>
          <w:szCs w:val="24"/>
          <w:highlight w:val="yellow"/>
          <w:rPrChange w:id="111" w:author="Autor">
            <w:rPr>
              <w:rFonts w:ascii="Times New Roman" w:eastAsia="Times New Roman" w:hAnsi="Times New Roman" w:cs="Times New Roman"/>
              <w:sz w:val="24"/>
              <w:szCs w:val="24"/>
            </w:rPr>
          </w:rPrChange>
        </w:rPr>
        <w:t>ialogam</w:t>
      </w:r>
      <w:r>
        <w:rPr>
          <w:rFonts w:ascii="Times New Roman" w:eastAsia="Times New Roman" w:hAnsi="Times New Roman" w:cs="Times New Roman"/>
          <w:sz w:val="24"/>
          <w:szCs w:val="24"/>
        </w:rPr>
        <w:t xml:space="preserve"> também nesta problemática de integração ampliada, </w:t>
      </w:r>
      <w:r w:rsidRPr="009562D1">
        <w:rPr>
          <w:rFonts w:ascii="Times New Roman" w:eastAsia="Times New Roman" w:hAnsi="Times New Roman" w:cs="Times New Roman"/>
          <w:sz w:val="24"/>
          <w:szCs w:val="24"/>
          <w:highlight w:val="yellow"/>
          <w:rPrChange w:id="112" w:author="Autor">
            <w:rPr>
              <w:rFonts w:ascii="Times New Roman" w:eastAsia="Times New Roman" w:hAnsi="Times New Roman" w:cs="Times New Roman"/>
              <w:sz w:val="24"/>
              <w:szCs w:val="24"/>
            </w:rPr>
          </w:rPrChange>
        </w:rPr>
        <w:t>dialogando</w:t>
      </w:r>
      <w:r>
        <w:rPr>
          <w:rFonts w:ascii="Times New Roman" w:eastAsia="Times New Roman" w:hAnsi="Times New Roman" w:cs="Times New Roman"/>
          <w:sz w:val="24"/>
          <w:szCs w:val="24"/>
        </w:rPr>
        <w:t xml:space="preserve"> para com perspectivas de gênero. Almeida aborda como uma das possíveis problemáticas a questão do casamento civil entre pessoas independentemente de sexo/gênero e suas legislações v</w:t>
      </w:r>
      <w:r>
        <w:rPr>
          <w:rFonts w:ascii="Times New Roman" w:eastAsia="Times New Roman" w:hAnsi="Times New Roman" w:cs="Times New Roman"/>
          <w:sz w:val="24"/>
          <w:szCs w:val="24"/>
        </w:rPr>
        <w:t>ariantes no MERCOSUL:</w:t>
      </w:r>
    </w:p>
    <w:p w14:paraId="00000052" w14:textId="77777777" w:rsidR="00C3703E" w:rsidRDefault="00C3703E" w:rsidP="009562D1">
      <w:pPr>
        <w:spacing w:line="360" w:lineRule="auto"/>
        <w:ind w:left="2267"/>
        <w:jc w:val="both"/>
        <w:rPr>
          <w:rFonts w:ascii="Times New Roman" w:eastAsia="Times New Roman" w:hAnsi="Times New Roman" w:cs="Times New Roman"/>
          <w:sz w:val="20"/>
          <w:szCs w:val="20"/>
        </w:rPr>
        <w:pPrChange w:id="113" w:author="Autor">
          <w:pPr>
            <w:spacing w:line="240" w:lineRule="auto"/>
            <w:ind w:left="2267"/>
            <w:jc w:val="both"/>
          </w:pPr>
        </w:pPrChange>
      </w:pPr>
    </w:p>
    <w:p w14:paraId="00000053" w14:textId="77777777" w:rsidR="00C3703E" w:rsidRDefault="00077BC5" w:rsidP="009562D1">
      <w:pPr>
        <w:spacing w:line="360" w:lineRule="auto"/>
        <w:ind w:left="2267"/>
        <w:jc w:val="both"/>
        <w:rPr>
          <w:rFonts w:ascii="Times New Roman" w:eastAsia="Times New Roman" w:hAnsi="Times New Roman" w:cs="Times New Roman"/>
          <w:sz w:val="20"/>
          <w:szCs w:val="20"/>
        </w:rPr>
        <w:pPrChange w:id="114" w:author="Autor">
          <w:pPr>
            <w:spacing w:line="240" w:lineRule="auto"/>
            <w:ind w:left="2267"/>
            <w:jc w:val="both"/>
          </w:pPr>
        </w:pPrChange>
      </w:pPr>
      <w:r>
        <w:rPr>
          <w:rFonts w:ascii="Times New Roman" w:eastAsia="Times New Roman" w:hAnsi="Times New Roman" w:cs="Times New Roman"/>
          <w:sz w:val="20"/>
          <w:szCs w:val="20"/>
        </w:rPr>
        <w:t>no Brasil e no Uruguai, é possível aos casais (independentemente do sexo) escolher entre a parceria civil ou o casamento, ao passo que a legislação federal argentina permite o casamento neutro em gênero em todo o território. Paralela</w:t>
      </w:r>
      <w:r>
        <w:rPr>
          <w:rFonts w:ascii="Times New Roman" w:eastAsia="Times New Roman" w:hAnsi="Times New Roman" w:cs="Times New Roman"/>
          <w:sz w:val="20"/>
          <w:szCs w:val="20"/>
        </w:rPr>
        <w:t>mente, no Paraguai e na Venezuela, até que sobrevenha reforma legislativa ou judiciária, os indivíduos de orientação homossexual ainda se encontram alijados destes direitos na ordem jurídica interna. Entretanto, tendo em vista que os mesmos entes soberanos</w:t>
      </w:r>
      <w:r>
        <w:rPr>
          <w:rFonts w:ascii="Times New Roman" w:eastAsia="Times New Roman" w:hAnsi="Times New Roman" w:cs="Times New Roman"/>
          <w:sz w:val="20"/>
          <w:szCs w:val="20"/>
        </w:rPr>
        <w:t xml:space="preserve"> resolveram estabelecer um Mercado Comum, a harmonização das respectivas ordens jurídicas internas deve atender às necessidades intrínsecas à referida forma de integração, ou seja, garantir que as grandes liberdades de circulação dos fatores de produção se</w:t>
      </w:r>
      <w:r>
        <w:rPr>
          <w:rFonts w:ascii="Times New Roman" w:eastAsia="Times New Roman" w:hAnsi="Times New Roman" w:cs="Times New Roman"/>
          <w:sz w:val="20"/>
          <w:szCs w:val="20"/>
        </w:rPr>
        <w:t xml:space="preserve">jam efetivamente alcançadas. Nesse sentido, a internacionalização da vida privada cotidiana faz com que cada vez mais, também os casamentos e/ ou parcerias entre pessoas do mesmo sexo se aproximem dos outros ordenamentos por meio dos diversos elementos de </w:t>
      </w:r>
      <w:r>
        <w:rPr>
          <w:rFonts w:ascii="Times New Roman" w:eastAsia="Times New Roman" w:hAnsi="Times New Roman" w:cs="Times New Roman"/>
          <w:sz w:val="20"/>
          <w:szCs w:val="20"/>
        </w:rPr>
        <w:t>conexão (nacionalidade ou domicílio dos cônjuges ou parceiros, local da situação dos bens imóveis, local da celebração do ato, etc...). (ALMEIDA, 2014, p. 248)</w:t>
      </w:r>
    </w:p>
    <w:p w14:paraId="00000054" w14:textId="77777777" w:rsidR="00C3703E" w:rsidRDefault="00C3703E" w:rsidP="009562D1">
      <w:pPr>
        <w:spacing w:line="360" w:lineRule="auto"/>
        <w:ind w:left="2267"/>
        <w:jc w:val="both"/>
        <w:rPr>
          <w:rFonts w:ascii="Times New Roman" w:eastAsia="Times New Roman" w:hAnsi="Times New Roman" w:cs="Times New Roman"/>
          <w:sz w:val="20"/>
          <w:szCs w:val="20"/>
        </w:rPr>
        <w:pPrChange w:id="115" w:author="Autor">
          <w:pPr>
            <w:spacing w:line="240" w:lineRule="auto"/>
            <w:ind w:left="2267"/>
            <w:jc w:val="both"/>
          </w:pPr>
        </w:pPrChange>
      </w:pPr>
    </w:p>
    <w:p w14:paraId="00000055" w14:textId="035498D3" w:rsidR="00C3703E" w:rsidRDefault="00077BC5" w:rsidP="009562D1">
      <w:pPr>
        <w:spacing w:line="360" w:lineRule="auto"/>
        <w:jc w:val="both"/>
        <w:rPr>
          <w:rFonts w:ascii="Times New Roman" w:eastAsia="Times New Roman" w:hAnsi="Times New Roman" w:cs="Times New Roman"/>
          <w:sz w:val="24"/>
          <w:szCs w:val="24"/>
        </w:rPr>
        <w:pPrChange w:id="116" w:author="Autor">
          <w:pPr>
            <w:spacing w:line="240" w:lineRule="auto"/>
            <w:jc w:val="both"/>
          </w:pPr>
        </w:pPrChange>
      </w:pPr>
      <w:r>
        <w:rPr>
          <w:rFonts w:ascii="Times New Roman" w:eastAsia="Times New Roman" w:hAnsi="Times New Roman" w:cs="Times New Roman"/>
          <w:sz w:val="24"/>
          <w:szCs w:val="24"/>
        </w:rPr>
        <w:t>O autor pondera como consequência da ampliação progressiva do fluxo internacional de pessoas no</w:t>
      </w:r>
      <w:r>
        <w:rPr>
          <w:rFonts w:ascii="Times New Roman" w:eastAsia="Times New Roman" w:hAnsi="Times New Roman" w:cs="Times New Roman"/>
          <w:sz w:val="24"/>
          <w:szCs w:val="24"/>
        </w:rPr>
        <w:t xml:space="preserve">s estados do bloco, uma crescente internacionalização da vida privada cotidiana, está cobraria uma uniformização das legislações que tratam da vida civil, apontando as possíveis </w:t>
      </w:r>
      <w:r w:rsidR="000F71D5">
        <w:rPr>
          <w:rFonts w:ascii="Times New Roman" w:eastAsia="Times New Roman" w:hAnsi="Times New Roman" w:cs="Times New Roman"/>
          <w:sz w:val="24"/>
          <w:szCs w:val="24"/>
        </w:rPr>
        <w:t>conexões entre</w:t>
      </w:r>
      <w:r>
        <w:rPr>
          <w:rFonts w:ascii="Times New Roman" w:eastAsia="Times New Roman" w:hAnsi="Times New Roman" w:cs="Times New Roman"/>
          <w:sz w:val="24"/>
          <w:szCs w:val="24"/>
        </w:rPr>
        <w:t xml:space="preserve"> as distintas normativas existentes em cada estado até o presen</w:t>
      </w:r>
      <w:r>
        <w:rPr>
          <w:rFonts w:ascii="Times New Roman" w:eastAsia="Times New Roman" w:hAnsi="Times New Roman" w:cs="Times New Roman"/>
          <w:sz w:val="24"/>
          <w:szCs w:val="24"/>
        </w:rPr>
        <w:t xml:space="preserve">te momento, conexões que poderão levar a uma interpretação jurídica mais benéfica aos </w:t>
      </w:r>
      <w:commentRangeStart w:id="117"/>
      <w:r>
        <w:rPr>
          <w:rFonts w:ascii="Times New Roman" w:eastAsia="Times New Roman" w:hAnsi="Times New Roman" w:cs="Times New Roman"/>
          <w:sz w:val="24"/>
          <w:szCs w:val="24"/>
        </w:rPr>
        <w:t>sujeitos</w:t>
      </w:r>
      <w:commentRangeEnd w:id="117"/>
      <w:r w:rsidR="000F71D5">
        <w:rPr>
          <w:rStyle w:val="Refdecomentrio"/>
        </w:rPr>
        <w:commentReference w:id="117"/>
      </w:r>
      <w:r>
        <w:rPr>
          <w:rFonts w:ascii="Times New Roman" w:eastAsia="Times New Roman" w:hAnsi="Times New Roman" w:cs="Times New Roman"/>
          <w:sz w:val="24"/>
          <w:szCs w:val="24"/>
        </w:rPr>
        <w:t>.</w:t>
      </w:r>
    </w:p>
    <w:p w14:paraId="00000056" w14:textId="77777777" w:rsidR="00C3703E" w:rsidRDefault="00077BC5" w:rsidP="009562D1">
      <w:pPr>
        <w:spacing w:line="360" w:lineRule="auto"/>
        <w:jc w:val="both"/>
        <w:rPr>
          <w:rFonts w:ascii="Times New Roman" w:eastAsia="Times New Roman" w:hAnsi="Times New Roman" w:cs="Times New Roman"/>
          <w:sz w:val="24"/>
          <w:szCs w:val="24"/>
        </w:rPr>
        <w:pPrChange w:id="118" w:author="Autor">
          <w:pPr>
            <w:spacing w:line="240" w:lineRule="auto"/>
            <w:jc w:val="both"/>
          </w:pPr>
        </w:pPrChange>
      </w:pPr>
      <w:r>
        <w:rPr>
          <w:rFonts w:ascii="Times New Roman" w:eastAsia="Times New Roman" w:hAnsi="Times New Roman" w:cs="Times New Roman"/>
          <w:sz w:val="24"/>
          <w:szCs w:val="24"/>
        </w:rPr>
        <w:t>Os Objetivos de Desenvolvimento Sustentável, firmados em 2015, no âmbito da Organização das Nações Unidas (ONU), e reconhecidos como objetivos a serem atingidos</w:t>
      </w:r>
      <w:r>
        <w:rPr>
          <w:rFonts w:ascii="Times New Roman" w:eastAsia="Times New Roman" w:hAnsi="Times New Roman" w:cs="Times New Roman"/>
          <w:sz w:val="24"/>
          <w:szCs w:val="24"/>
        </w:rPr>
        <w:t xml:space="preserve"> também no âmbito do MERCOSUL durante abertura da XII Reunião Especializada de Estatísticas do MERCOSUL (REES)</w:t>
      </w:r>
      <w:r>
        <w:rPr>
          <w:rFonts w:ascii="Times New Roman" w:eastAsia="Times New Roman" w:hAnsi="Times New Roman" w:cs="Times New Roman"/>
          <w:sz w:val="24"/>
          <w:szCs w:val="24"/>
          <w:vertAlign w:val="superscript"/>
        </w:rPr>
        <w:footnoteReference w:id="5"/>
      </w:r>
      <w:r>
        <w:rPr>
          <w:rFonts w:ascii="Times New Roman" w:eastAsia="Times New Roman" w:hAnsi="Times New Roman" w:cs="Times New Roman"/>
          <w:sz w:val="24"/>
          <w:szCs w:val="24"/>
        </w:rPr>
        <w:t xml:space="preserve"> apresenta especialmente temáticas de gênero/sexualidade que poderão se constituir como desafios a consolidação do processo de integração.</w:t>
      </w:r>
    </w:p>
    <w:p w14:paraId="00000057" w14:textId="3A1CB843" w:rsidR="00C3703E" w:rsidRDefault="00077BC5" w:rsidP="009562D1">
      <w:pPr>
        <w:spacing w:line="360" w:lineRule="auto"/>
        <w:jc w:val="both"/>
        <w:rPr>
          <w:rFonts w:ascii="Times New Roman" w:eastAsia="Times New Roman" w:hAnsi="Times New Roman" w:cs="Times New Roman"/>
          <w:sz w:val="24"/>
          <w:szCs w:val="24"/>
        </w:rPr>
        <w:pPrChange w:id="119" w:author="Autor">
          <w:pPr>
            <w:spacing w:line="240" w:lineRule="auto"/>
            <w:jc w:val="both"/>
          </w:pPr>
        </w:pPrChange>
      </w:pPr>
      <w:r>
        <w:rPr>
          <w:rFonts w:ascii="Times New Roman" w:eastAsia="Times New Roman" w:hAnsi="Times New Roman" w:cs="Times New Roman"/>
          <w:sz w:val="24"/>
          <w:szCs w:val="24"/>
        </w:rPr>
        <w:t>O obje</w:t>
      </w:r>
      <w:r>
        <w:rPr>
          <w:rFonts w:ascii="Times New Roman" w:eastAsia="Times New Roman" w:hAnsi="Times New Roman" w:cs="Times New Roman"/>
          <w:sz w:val="24"/>
          <w:szCs w:val="24"/>
        </w:rPr>
        <w:t xml:space="preserve">tivo 1.b traz como </w:t>
      </w:r>
      <w:r w:rsidR="000F71D5">
        <w:rPr>
          <w:rFonts w:ascii="Times New Roman" w:eastAsia="Times New Roman" w:hAnsi="Times New Roman" w:cs="Times New Roman"/>
          <w:sz w:val="24"/>
          <w:szCs w:val="24"/>
        </w:rPr>
        <w:t>texto a</w:t>
      </w:r>
      <w:r>
        <w:rPr>
          <w:rFonts w:ascii="Times New Roman" w:eastAsia="Times New Roman" w:hAnsi="Times New Roman" w:cs="Times New Roman"/>
          <w:sz w:val="24"/>
          <w:szCs w:val="24"/>
        </w:rPr>
        <w:t xml:space="preserve"> proposta de “</w:t>
      </w:r>
      <w:r>
        <w:rPr>
          <w:rFonts w:ascii="Times New Roman" w:eastAsia="Times New Roman" w:hAnsi="Times New Roman" w:cs="Times New Roman"/>
          <w:i/>
          <w:sz w:val="24"/>
          <w:szCs w:val="24"/>
        </w:rPr>
        <w:t>criar marcos políticos sólidos, em níveis nacional, regional e internacional, com base em estratégias de desenvolvimento a favor dos pobres e sensíveis a gênero, para apoiar investimentos acelerados nas ações de err</w:t>
      </w:r>
      <w:r>
        <w:rPr>
          <w:rFonts w:ascii="Times New Roman" w:eastAsia="Times New Roman" w:hAnsi="Times New Roman" w:cs="Times New Roman"/>
          <w:i/>
          <w:sz w:val="24"/>
          <w:szCs w:val="24"/>
        </w:rPr>
        <w:t>adicação da pobreza;</w:t>
      </w:r>
      <w:r>
        <w:rPr>
          <w:rFonts w:ascii="Times New Roman" w:eastAsia="Times New Roman" w:hAnsi="Times New Roman" w:cs="Times New Roman"/>
          <w:sz w:val="24"/>
          <w:szCs w:val="24"/>
        </w:rPr>
        <w:t xml:space="preserve">” (ITAMARATY, </w:t>
      </w:r>
      <w:commentRangeStart w:id="120"/>
      <w:r>
        <w:rPr>
          <w:rFonts w:ascii="Times New Roman" w:eastAsia="Times New Roman" w:hAnsi="Times New Roman" w:cs="Times New Roman"/>
          <w:sz w:val="24"/>
          <w:szCs w:val="24"/>
        </w:rPr>
        <w:t>2018</w:t>
      </w:r>
      <w:commentRangeEnd w:id="120"/>
      <w:r w:rsidR="000F71D5">
        <w:rPr>
          <w:rStyle w:val="Refdecomentrio"/>
        </w:rPr>
        <w:commentReference w:id="120"/>
      </w:r>
      <w:r>
        <w:rPr>
          <w:rFonts w:ascii="Times New Roman" w:eastAsia="Times New Roman" w:hAnsi="Times New Roman" w:cs="Times New Roman"/>
          <w:sz w:val="24"/>
          <w:szCs w:val="24"/>
        </w:rPr>
        <w:t>).</w:t>
      </w:r>
    </w:p>
    <w:p w14:paraId="00000058" w14:textId="77777777" w:rsidR="00C3703E" w:rsidRDefault="00077BC5" w:rsidP="009562D1">
      <w:pPr>
        <w:spacing w:line="360" w:lineRule="auto"/>
        <w:jc w:val="both"/>
        <w:rPr>
          <w:rFonts w:ascii="Times New Roman" w:eastAsia="Times New Roman" w:hAnsi="Times New Roman" w:cs="Times New Roman"/>
          <w:sz w:val="24"/>
          <w:szCs w:val="24"/>
        </w:rPr>
        <w:pPrChange w:id="121" w:author="Autor">
          <w:pPr>
            <w:spacing w:line="240" w:lineRule="auto"/>
            <w:jc w:val="both"/>
          </w:pPr>
        </w:pPrChange>
      </w:pPr>
      <w:r>
        <w:rPr>
          <w:rFonts w:ascii="Times New Roman" w:eastAsia="Times New Roman" w:hAnsi="Times New Roman" w:cs="Times New Roman"/>
          <w:sz w:val="24"/>
          <w:szCs w:val="24"/>
        </w:rPr>
        <w:t>Se percebe aqui a importância de que os marcos políticos desenvolvidos sejam sensíveis, observando questões de gênero, a fim de traçar estratégias de erradicação da pobreza, no mesmo sentido, os processos educaciona</w:t>
      </w:r>
      <w:r>
        <w:rPr>
          <w:rFonts w:ascii="Times New Roman" w:eastAsia="Times New Roman" w:hAnsi="Times New Roman" w:cs="Times New Roman"/>
          <w:sz w:val="24"/>
          <w:szCs w:val="24"/>
        </w:rPr>
        <w:t>is afirmados aos objetivos 4.5, 4.7 e 4.a, afirmam a importância de se eliminar as disparidades de gênero existentes na educação, garantindo-se a igualdade de acesso a todos os níveis de educação e formação, bem como instalações apropriadas sensíveis a que</w:t>
      </w:r>
      <w:r>
        <w:rPr>
          <w:rFonts w:ascii="Times New Roman" w:eastAsia="Times New Roman" w:hAnsi="Times New Roman" w:cs="Times New Roman"/>
          <w:sz w:val="24"/>
          <w:szCs w:val="24"/>
        </w:rPr>
        <w:t xml:space="preserve">stões de gênero, proporcionando ambientes seguros de aprendizagem, não violentos, inclusivos e eficazes para </w:t>
      </w:r>
      <w:commentRangeStart w:id="122"/>
      <w:r>
        <w:rPr>
          <w:rFonts w:ascii="Times New Roman" w:eastAsia="Times New Roman" w:hAnsi="Times New Roman" w:cs="Times New Roman"/>
          <w:sz w:val="24"/>
          <w:szCs w:val="24"/>
        </w:rPr>
        <w:t>todos</w:t>
      </w:r>
      <w:commentRangeEnd w:id="122"/>
      <w:r w:rsidR="000F71D5">
        <w:rPr>
          <w:rStyle w:val="Refdecomentrio"/>
        </w:rPr>
        <w:commentReference w:id="122"/>
      </w:r>
      <w:r>
        <w:rPr>
          <w:rFonts w:ascii="Times New Roman" w:eastAsia="Times New Roman" w:hAnsi="Times New Roman" w:cs="Times New Roman"/>
          <w:sz w:val="24"/>
          <w:szCs w:val="24"/>
        </w:rPr>
        <w:t xml:space="preserve">. </w:t>
      </w:r>
    </w:p>
    <w:p w14:paraId="00000059" w14:textId="77777777" w:rsidR="00C3703E" w:rsidRDefault="00077BC5" w:rsidP="009562D1">
      <w:pPr>
        <w:spacing w:line="360" w:lineRule="auto"/>
        <w:jc w:val="both"/>
        <w:rPr>
          <w:rFonts w:ascii="Times New Roman" w:eastAsia="Times New Roman" w:hAnsi="Times New Roman" w:cs="Times New Roman"/>
          <w:sz w:val="24"/>
          <w:szCs w:val="24"/>
        </w:rPr>
        <w:pPrChange w:id="123" w:author="Autor">
          <w:pPr>
            <w:spacing w:line="240" w:lineRule="auto"/>
            <w:jc w:val="both"/>
          </w:pPr>
        </w:pPrChange>
      </w:pPr>
      <w:r>
        <w:rPr>
          <w:rFonts w:ascii="Times New Roman" w:eastAsia="Times New Roman" w:hAnsi="Times New Roman" w:cs="Times New Roman"/>
          <w:sz w:val="24"/>
          <w:szCs w:val="24"/>
        </w:rPr>
        <w:t>O objetivo 5 e seus complementos, é contudo o mais completo, fixando este importante eixo aos debates do MERCOSUL, pois propõe como meta aos estados:</w:t>
      </w:r>
    </w:p>
    <w:p w14:paraId="0000005A" w14:textId="77777777" w:rsidR="00C3703E" w:rsidRDefault="00077BC5" w:rsidP="009562D1">
      <w:pPr>
        <w:spacing w:line="360" w:lineRule="auto"/>
        <w:ind w:left="2267"/>
        <w:jc w:val="both"/>
        <w:rPr>
          <w:rFonts w:ascii="Times New Roman" w:eastAsia="Times New Roman" w:hAnsi="Times New Roman" w:cs="Times New Roman"/>
          <w:sz w:val="20"/>
          <w:szCs w:val="20"/>
        </w:rPr>
        <w:pPrChange w:id="124" w:author="Autor">
          <w:pPr>
            <w:spacing w:line="240" w:lineRule="auto"/>
            <w:ind w:left="2267"/>
            <w:jc w:val="both"/>
          </w:pPr>
        </w:pPrChange>
      </w:pPr>
      <w:r>
        <w:rPr>
          <w:rFonts w:ascii="Times New Roman" w:eastAsia="Times New Roman" w:hAnsi="Times New Roman" w:cs="Times New Roman"/>
          <w:sz w:val="20"/>
          <w:szCs w:val="20"/>
        </w:rPr>
        <w:t>Objetivo 5. Alcançar a igualdade de gênero e empoderar todas as mulheres e meninas (...);</w:t>
      </w:r>
    </w:p>
    <w:p w14:paraId="0000005B" w14:textId="77777777" w:rsidR="00C3703E" w:rsidRDefault="00077BC5" w:rsidP="009562D1">
      <w:pPr>
        <w:spacing w:line="360" w:lineRule="auto"/>
        <w:ind w:left="2267"/>
        <w:jc w:val="both"/>
        <w:rPr>
          <w:rFonts w:ascii="Times New Roman" w:eastAsia="Times New Roman" w:hAnsi="Times New Roman" w:cs="Times New Roman"/>
          <w:sz w:val="20"/>
          <w:szCs w:val="20"/>
        </w:rPr>
        <w:pPrChange w:id="125" w:author="Autor">
          <w:pPr>
            <w:spacing w:line="240" w:lineRule="auto"/>
            <w:ind w:left="2267"/>
            <w:jc w:val="both"/>
          </w:pPr>
        </w:pPrChange>
      </w:pPr>
      <w:r>
        <w:rPr>
          <w:rFonts w:ascii="Times New Roman" w:eastAsia="Times New Roman" w:hAnsi="Times New Roman" w:cs="Times New Roman"/>
          <w:sz w:val="20"/>
          <w:szCs w:val="20"/>
        </w:rPr>
        <w:t>5.2 eliminar tod</w:t>
      </w:r>
      <w:r>
        <w:rPr>
          <w:rFonts w:ascii="Times New Roman" w:eastAsia="Times New Roman" w:hAnsi="Times New Roman" w:cs="Times New Roman"/>
          <w:sz w:val="20"/>
          <w:szCs w:val="20"/>
        </w:rPr>
        <w:t>as as formas de violência contra todas as mulheres e meninas nas esferas públicas e privadas, incluindo o tráfico e exploração sexual e de outros tipos (...);</w:t>
      </w:r>
    </w:p>
    <w:p w14:paraId="0000005C" w14:textId="77777777" w:rsidR="00C3703E" w:rsidRDefault="00077BC5" w:rsidP="009562D1">
      <w:pPr>
        <w:spacing w:line="360" w:lineRule="auto"/>
        <w:ind w:left="2267"/>
        <w:jc w:val="both"/>
        <w:rPr>
          <w:rFonts w:ascii="Times New Roman" w:eastAsia="Times New Roman" w:hAnsi="Times New Roman" w:cs="Times New Roman"/>
          <w:sz w:val="20"/>
          <w:szCs w:val="20"/>
        </w:rPr>
        <w:pPrChange w:id="126" w:author="Autor">
          <w:pPr>
            <w:spacing w:line="240" w:lineRule="auto"/>
            <w:ind w:left="2267"/>
            <w:jc w:val="both"/>
          </w:pPr>
        </w:pPrChange>
      </w:pPr>
      <w:r>
        <w:rPr>
          <w:rFonts w:ascii="Times New Roman" w:eastAsia="Times New Roman" w:hAnsi="Times New Roman" w:cs="Times New Roman"/>
          <w:sz w:val="20"/>
          <w:szCs w:val="20"/>
        </w:rPr>
        <w:t>5.6 assegurar o acesso universal à saúde sexual e reprodutiva e os direitos reprodutivos (...);</w:t>
      </w:r>
    </w:p>
    <w:p w14:paraId="0000005D" w14:textId="77777777" w:rsidR="00C3703E" w:rsidRDefault="00077BC5" w:rsidP="009562D1">
      <w:pPr>
        <w:spacing w:line="360" w:lineRule="auto"/>
        <w:ind w:left="2267"/>
        <w:jc w:val="both"/>
        <w:rPr>
          <w:rFonts w:ascii="Times New Roman" w:eastAsia="Times New Roman" w:hAnsi="Times New Roman" w:cs="Times New Roman"/>
          <w:sz w:val="20"/>
          <w:szCs w:val="20"/>
        </w:rPr>
        <w:pPrChange w:id="127" w:author="Autor">
          <w:pPr>
            <w:spacing w:line="240" w:lineRule="auto"/>
            <w:ind w:left="2267"/>
            <w:jc w:val="both"/>
          </w:pPr>
        </w:pPrChange>
      </w:pPr>
      <w:r>
        <w:rPr>
          <w:rFonts w:ascii="Times New Roman" w:eastAsia="Times New Roman" w:hAnsi="Times New Roman" w:cs="Times New Roman"/>
          <w:sz w:val="20"/>
          <w:szCs w:val="20"/>
        </w:rPr>
        <w:t>5</w:t>
      </w:r>
      <w:r>
        <w:rPr>
          <w:rFonts w:ascii="Times New Roman" w:eastAsia="Times New Roman" w:hAnsi="Times New Roman" w:cs="Times New Roman"/>
          <w:sz w:val="20"/>
          <w:szCs w:val="20"/>
        </w:rPr>
        <w:t>.c adotar e fortalecer políticas sólidas e legislação aplicável para a promoção da igualdade de gênero e o empoderamento de todas as mulheres e meninas, em todos os níveis; (ITAMARATY, 2018).</w:t>
      </w:r>
    </w:p>
    <w:p w14:paraId="0000005E" w14:textId="77777777" w:rsidR="00C3703E" w:rsidRDefault="00C3703E" w:rsidP="009562D1">
      <w:pPr>
        <w:spacing w:line="360" w:lineRule="auto"/>
        <w:ind w:left="2267"/>
        <w:jc w:val="both"/>
        <w:rPr>
          <w:rFonts w:ascii="Times New Roman" w:eastAsia="Times New Roman" w:hAnsi="Times New Roman" w:cs="Times New Roman"/>
          <w:sz w:val="20"/>
          <w:szCs w:val="20"/>
        </w:rPr>
        <w:pPrChange w:id="128" w:author="Autor">
          <w:pPr>
            <w:spacing w:line="240" w:lineRule="auto"/>
            <w:ind w:left="2267"/>
            <w:jc w:val="both"/>
          </w:pPr>
        </w:pPrChange>
      </w:pPr>
    </w:p>
    <w:p w14:paraId="0000005F" w14:textId="77777777" w:rsidR="00C3703E" w:rsidRDefault="00077BC5" w:rsidP="009562D1">
      <w:pPr>
        <w:spacing w:line="360" w:lineRule="auto"/>
        <w:jc w:val="both"/>
        <w:rPr>
          <w:rFonts w:ascii="Times New Roman" w:eastAsia="Times New Roman" w:hAnsi="Times New Roman" w:cs="Times New Roman"/>
          <w:sz w:val="24"/>
          <w:szCs w:val="24"/>
        </w:rPr>
        <w:pPrChange w:id="129" w:author="Autor">
          <w:pPr>
            <w:spacing w:line="240" w:lineRule="auto"/>
            <w:jc w:val="both"/>
          </w:pPr>
        </w:pPrChange>
      </w:pPr>
      <w:r>
        <w:rPr>
          <w:rFonts w:ascii="Times New Roman" w:eastAsia="Times New Roman" w:hAnsi="Times New Roman" w:cs="Times New Roman"/>
          <w:sz w:val="24"/>
          <w:szCs w:val="24"/>
        </w:rPr>
        <w:t>Se percebe portanto a adoção de um conceito de integração profu</w:t>
      </w:r>
      <w:r>
        <w:rPr>
          <w:rFonts w:ascii="Times New Roman" w:eastAsia="Times New Roman" w:hAnsi="Times New Roman" w:cs="Times New Roman"/>
          <w:sz w:val="24"/>
          <w:szCs w:val="24"/>
        </w:rPr>
        <w:t>nda, que além do desenvolvimento econômico, propõe aos países integrantes do bloco MERCOSUL os diversos desafios oriundos das diversas violências historicamente constituídas nos territórios de gênero e sexualidade, consideradas como graves violações dos Di</w:t>
      </w:r>
      <w:r>
        <w:rPr>
          <w:rFonts w:ascii="Times New Roman" w:eastAsia="Times New Roman" w:hAnsi="Times New Roman" w:cs="Times New Roman"/>
          <w:sz w:val="24"/>
          <w:szCs w:val="24"/>
        </w:rPr>
        <w:t xml:space="preserve">reitos Humanos e impossibilitadoras dos processos de </w:t>
      </w:r>
      <w:commentRangeStart w:id="130"/>
      <w:r>
        <w:rPr>
          <w:rFonts w:ascii="Times New Roman" w:eastAsia="Times New Roman" w:hAnsi="Times New Roman" w:cs="Times New Roman"/>
          <w:sz w:val="24"/>
          <w:szCs w:val="24"/>
        </w:rPr>
        <w:t>integração</w:t>
      </w:r>
      <w:commentRangeEnd w:id="130"/>
      <w:r w:rsidR="000F71D5">
        <w:rPr>
          <w:rStyle w:val="Refdecomentrio"/>
        </w:rPr>
        <w:commentReference w:id="130"/>
      </w:r>
      <w:r>
        <w:rPr>
          <w:rFonts w:ascii="Times New Roman" w:eastAsia="Times New Roman" w:hAnsi="Times New Roman" w:cs="Times New Roman"/>
          <w:sz w:val="24"/>
          <w:szCs w:val="24"/>
        </w:rPr>
        <w:t xml:space="preserve">. </w:t>
      </w:r>
    </w:p>
    <w:p w14:paraId="00000060" w14:textId="77777777" w:rsidR="00C3703E" w:rsidRDefault="00077BC5" w:rsidP="009562D1">
      <w:pPr>
        <w:spacing w:line="360" w:lineRule="auto"/>
        <w:jc w:val="both"/>
        <w:rPr>
          <w:rFonts w:ascii="Times New Roman" w:eastAsia="Times New Roman" w:hAnsi="Times New Roman" w:cs="Times New Roman"/>
          <w:sz w:val="24"/>
          <w:szCs w:val="24"/>
        </w:rPr>
        <w:pPrChange w:id="131" w:author="Autor">
          <w:pPr>
            <w:spacing w:line="240" w:lineRule="auto"/>
            <w:jc w:val="both"/>
          </w:pPr>
        </w:pPrChange>
      </w:pPr>
      <w:r>
        <w:rPr>
          <w:rFonts w:ascii="Times New Roman" w:eastAsia="Times New Roman" w:hAnsi="Times New Roman" w:cs="Times New Roman"/>
          <w:sz w:val="24"/>
          <w:szCs w:val="24"/>
        </w:rPr>
        <w:t xml:space="preserve"> Conforme, se convalida ao texto do objetivo 10, são estas temáticas emblemáticas ao se buscar reduzir as desigualdades dentro dos países e entre eles, o que poderia fortalecer o processo de</w:t>
      </w:r>
      <w:r>
        <w:rPr>
          <w:rFonts w:ascii="Times New Roman" w:eastAsia="Times New Roman" w:hAnsi="Times New Roman" w:cs="Times New Roman"/>
          <w:sz w:val="24"/>
          <w:szCs w:val="24"/>
        </w:rPr>
        <w:t xml:space="preserve"> integração intra-bloco, devendo-se empoderar e promover a inclusão social, econômica e política de todos, independentemente de sexo, gênero ou qualquer outro fator de hierarquização social interseccionado.</w:t>
      </w:r>
    </w:p>
    <w:p w14:paraId="00000061" w14:textId="77777777" w:rsidR="00C3703E" w:rsidRDefault="00C3703E" w:rsidP="009562D1">
      <w:pPr>
        <w:spacing w:line="360" w:lineRule="auto"/>
        <w:jc w:val="both"/>
        <w:rPr>
          <w:rFonts w:ascii="Times New Roman" w:eastAsia="Times New Roman" w:hAnsi="Times New Roman" w:cs="Times New Roman"/>
          <w:sz w:val="24"/>
          <w:szCs w:val="24"/>
        </w:rPr>
        <w:pPrChange w:id="132" w:author="Autor">
          <w:pPr>
            <w:spacing w:line="240" w:lineRule="auto"/>
            <w:jc w:val="both"/>
          </w:pPr>
        </w:pPrChange>
      </w:pPr>
    </w:p>
    <w:p w14:paraId="00000062" w14:textId="77777777" w:rsidR="00C3703E" w:rsidRDefault="00077BC5" w:rsidP="009562D1">
      <w:pPr>
        <w:spacing w:line="360" w:lineRule="auto"/>
        <w:jc w:val="both"/>
        <w:rPr>
          <w:rFonts w:ascii="Times New Roman" w:eastAsia="Times New Roman" w:hAnsi="Times New Roman" w:cs="Times New Roman"/>
          <w:b/>
          <w:sz w:val="24"/>
          <w:szCs w:val="24"/>
        </w:rPr>
        <w:pPrChange w:id="133" w:author="Autor">
          <w:pPr>
            <w:spacing w:line="240" w:lineRule="auto"/>
            <w:jc w:val="both"/>
          </w:pPr>
        </w:pPrChange>
      </w:pPr>
      <w:r>
        <w:rPr>
          <w:rFonts w:ascii="Times New Roman" w:eastAsia="Times New Roman" w:hAnsi="Times New Roman" w:cs="Times New Roman"/>
          <w:b/>
          <w:sz w:val="24"/>
          <w:szCs w:val="24"/>
        </w:rPr>
        <w:t>4 CONCLUSÕES FINAIS</w:t>
      </w:r>
    </w:p>
    <w:p w14:paraId="00000063" w14:textId="77777777" w:rsidR="00C3703E" w:rsidRDefault="00077BC5" w:rsidP="009562D1">
      <w:pPr>
        <w:spacing w:line="360" w:lineRule="auto"/>
        <w:jc w:val="both"/>
        <w:rPr>
          <w:rFonts w:ascii="Times New Roman" w:eastAsia="Times New Roman" w:hAnsi="Times New Roman" w:cs="Times New Roman"/>
          <w:sz w:val="24"/>
          <w:szCs w:val="24"/>
        </w:rPr>
        <w:pPrChange w:id="134" w:author="Autor">
          <w:pPr>
            <w:spacing w:line="240" w:lineRule="auto"/>
            <w:jc w:val="both"/>
          </w:pPr>
        </w:pPrChange>
      </w:pPr>
      <w:r>
        <w:rPr>
          <w:rFonts w:ascii="Times New Roman" w:eastAsia="Times New Roman" w:hAnsi="Times New Roman" w:cs="Times New Roman"/>
          <w:sz w:val="24"/>
          <w:szCs w:val="24"/>
        </w:rPr>
        <w:t>Por meio deste artigo não se</w:t>
      </w:r>
      <w:r>
        <w:rPr>
          <w:rFonts w:ascii="Times New Roman" w:eastAsia="Times New Roman" w:hAnsi="Times New Roman" w:cs="Times New Roman"/>
          <w:sz w:val="24"/>
          <w:szCs w:val="24"/>
        </w:rPr>
        <w:t xml:space="preserve"> pretendeu esgotar a pesquisa sobre o tema, apenas corresponder a uma colaboração para a literatura vinculada às temáticas debatidas, a partir dos casos específicos </w:t>
      </w:r>
      <w:commentRangeStart w:id="135"/>
      <w:r>
        <w:rPr>
          <w:rFonts w:ascii="Times New Roman" w:eastAsia="Times New Roman" w:hAnsi="Times New Roman" w:cs="Times New Roman"/>
          <w:sz w:val="24"/>
          <w:szCs w:val="24"/>
        </w:rPr>
        <w:t>apontados</w:t>
      </w:r>
      <w:commentRangeEnd w:id="135"/>
      <w:r w:rsidR="000F71D5">
        <w:rPr>
          <w:rStyle w:val="Refdecomentrio"/>
        </w:rPr>
        <w:commentReference w:id="135"/>
      </w:r>
      <w:r>
        <w:rPr>
          <w:rFonts w:ascii="Times New Roman" w:eastAsia="Times New Roman" w:hAnsi="Times New Roman" w:cs="Times New Roman"/>
          <w:sz w:val="24"/>
          <w:szCs w:val="24"/>
        </w:rPr>
        <w:t xml:space="preserve">, bem como de toda a gama </w:t>
      </w:r>
      <w:commentRangeStart w:id="136"/>
      <w:r>
        <w:rPr>
          <w:rFonts w:ascii="Times New Roman" w:eastAsia="Times New Roman" w:hAnsi="Times New Roman" w:cs="Times New Roman"/>
          <w:sz w:val="24"/>
          <w:szCs w:val="24"/>
        </w:rPr>
        <w:t>doutrinária</w:t>
      </w:r>
      <w:commentRangeEnd w:id="136"/>
      <w:r w:rsidR="000F71D5">
        <w:rPr>
          <w:rStyle w:val="Refdecomentrio"/>
        </w:rPr>
        <w:commentReference w:id="136"/>
      </w:r>
      <w:r>
        <w:rPr>
          <w:rFonts w:ascii="Times New Roman" w:eastAsia="Times New Roman" w:hAnsi="Times New Roman" w:cs="Times New Roman"/>
          <w:sz w:val="24"/>
          <w:szCs w:val="24"/>
        </w:rPr>
        <w:t xml:space="preserve"> trabalhada ao longo do trabalho, se buscou r</w:t>
      </w:r>
      <w:r>
        <w:rPr>
          <w:rFonts w:ascii="Times New Roman" w:eastAsia="Times New Roman" w:hAnsi="Times New Roman" w:cs="Times New Roman"/>
          <w:sz w:val="24"/>
          <w:szCs w:val="24"/>
        </w:rPr>
        <w:t>eforçar a necessidade, a centralidade e a atualidade dos temas e questões de gênero.</w:t>
      </w:r>
    </w:p>
    <w:p w14:paraId="00000064" w14:textId="77777777" w:rsidR="00C3703E" w:rsidRDefault="00077BC5" w:rsidP="009562D1">
      <w:pPr>
        <w:spacing w:line="360" w:lineRule="auto"/>
        <w:jc w:val="both"/>
        <w:rPr>
          <w:rFonts w:ascii="Times New Roman" w:eastAsia="Times New Roman" w:hAnsi="Times New Roman" w:cs="Times New Roman"/>
          <w:sz w:val="24"/>
          <w:szCs w:val="24"/>
        </w:rPr>
        <w:pPrChange w:id="137" w:author="Autor">
          <w:pPr>
            <w:spacing w:line="240" w:lineRule="auto"/>
            <w:jc w:val="both"/>
          </w:pPr>
        </w:pPrChange>
      </w:pPr>
      <w:r>
        <w:rPr>
          <w:rFonts w:ascii="Times New Roman" w:eastAsia="Times New Roman" w:hAnsi="Times New Roman" w:cs="Times New Roman"/>
          <w:sz w:val="24"/>
          <w:szCs w:val="24"/>
        </w:rPr>
        <w:t>Se destacam assim as múltiplas violências perpetradas sobre os corpos nos processos econômicos, políticos, sociais, bem como a manutenção e a reprodução das estruturas patriarcais, capitalistas, desiguais de poder. Que colidirão diretamente com os processo</w:t>
      </w:r>
      <w:r>
        <w:rPr>
          <w:rFonts w:ascii="Times New Roman" w:eastAsia="Times New Roman" w:hAnsi="Times New Roman" w:cs="Times New Roman"/>
          <w:sz w:val="24"/>
          <w:szCs w:val="24"/>
        </w:rPr>
        <w:t>s de integração, em especial quando estes buscarem seu sentido de profundo, para muito além dos processos econômicos.</w:t>
      </w:r>
    </w:p>
    <w:p w14:paraId="00000065" w14:textId="77777777" w:rsidR="00C3703E" w:rsidRDefault="00C3703E" w:rsidP="009562D1">
      <w:pPr>
        <w:spacing w:line="360" w:lineRule="auto"/>
        <w:jc w:val="both"/>
        <w:rPr>
          <w:rFonts w:ascii="Times New Roman" w:eastAsia="Times New Roman" w:hAnsi="Times New Roman" w:cs="Times New Roman"/>
          <w:sz w:val="24"/>
          <w:szCs w:val="24"/>
        </w:rPr>
        <w:pPrChange w:id="138" w:author="Autor">
          <w:pPr>
            <w:spacing w:line="240" w:lineRule="auto"/>
            <w:jc w:val="both"/>
          </w:pPr>
        </w:pPrChange>
      </w:pPr>
    </w:p>
    <w:p w14:paraId="00000066" w14:textId="77777777" w:rsidR="00C3703E" w:rsidRDefault="00077BC5" w:rsidP="009562D1">
      <w:pPr>
        <w:spacing w:line="360" w:lineRule="auto"/>
        <w:jc w:val="both"/>
        <w:rPr>
          <w:rFonts w:ascii="Times New Roman" w:eastAsia="Times New Roman" w:hAnsi="Times New Roman" w:cs="Times New Roman"/>
          <w:b/>
          <w:sz w:val="24"/>
          <w:szCs w:val="24"/>
        </w:rPr>
        <w:pPrChange w:id="139" w:author="Autor">
          <w:pPr>
            <w:spacing w:line="240" w:lineRule="auto"/>
            <w:jc w:val="both"/>
          </w:pPr>
        </w:pPrChange>
      </w:pPr>
      <w:r>
        <w:rPr>
          <w:rFonts w:ascii="Times New Roman" w:eastAsia="Times New Roman" w:hAnsi="Times New Roman" w:cs="Times New Roman"/>
          <w:b/>
          <w:sz w:val="24"/>
          <w:szCs w:val="24"/>
        </w:rPr>
        <w:t xml:space="preserve">5 BIBLIOGRAFIAS </w:t>
      </w:r>
    </w:p>
    <w:p w14:paraId="00000067" w14:textId="77777777" w:rsidR="00C3703E" w:rsidRDefault="00C3703E" w:rsidP="009562D1">
      <w:pPr>
        <w:spacing w:line="360" w:lineRule="auto"/>
        <w:rPr>
          <w:rFonts w:ascii="Times New Roman" w:eastAsia="Times New Roman" w:hAnsi="Times New Roman" w:cs="Times New Roman"/>
          <w:sz w:val="24"/>
          <w:szCs w:val="24"/>
        </w:rPr>
        <w:pPrChange w:id="140" w:author="Autor">
          <w:pPr>
            <w:spacing w:line="240" w:lineRule="auto"/>
          </w:pPr>
        </w:pPrChange>
      </w:pPr>
    </w:p>
    <w:p w14:paraId="00000068" w14:textId="77777777" w:rsidR="00C3703E" w:rsidRDefault="00077BC5" w:rsidP="009562D1">
      <w:pPr>
        <w:spacing w:line="360" w:lineRule="auto"/>
        <w:jc w:val="both"/>
        <w:rPr>
          <w:rFonts w:ascii="Times New Roman" w:eastAsia="Times New Roman" w:hAnsi="Times New Roman" w:cs="Times New Roman"/>
          <w:sz w:val="24"/>
          <w:szCs w:val="24"/>
        </w:rPr>
        <w:pPrChange w:id="141" w:author="Autor">
          <w:pPr>
            <w:spacing w:line="240" w:lineRule="auto"/>
            <w:jc w:val="both"/>
          </w:pPr>
        </w:pPrChange>
      </w:pPr>
      <w:r>
        <w:rPr>
          <w:rFonts w:ascii="Times New Roman" w:eastAsia="Times New Roman" w:hAnsi="Times New Roman" w:cs="Times New Roman"/>
          <w:sz w:val="24"/>
          <w:szCs w:val="24"/>
        </w:rPr>
        <w:t xml:space="preserve">ABRAMOVICH, V,  </w:t>
      </w:r>
      <w:r>
        <w:rPr>
          <w:rFonts w:ascii="Times New Roman" w:eastAsia="Times New Roman" w:hAnsi="Times New Roman" w:cs="Times New Roman"/>
          <w:b/>
          <w:sz w:val="24"/>
          <w:szCs w:val="24"/>
        </w:rPr>
        <w:t>Direitos humanos no marco do processo de integração regional no Mercosul,</w:t>
      </w:r>
      <w:r>
        <w:rPr>
          <w:rFonts w:ascii="Times New Roman" w:eastAsia="Times New Roman" w:hAnsi="Times New Roman" w:cs="Times New Roman"/>
          <w:sz w:val="24"/>
          <w:szCs w:val="24"/>
        </w:rPr>
        <w:t xml:space="preserve"> RSTPR, 1° ano, Nº 2, 2013. Di</w:t>
      </w:r>
      <w:r>
        <w:rPr>
          <w:rFonts w:ascii="Times New Roman" w:eastAsia="Times New Roman" w:hAnsi="Times New Roman" w:cs="Times New Roman"/>
          <w:sz w:val="24"/>
          <w:szCs w:val="24"/>
        </w:rPr>
        <w:t>sponível em &lt;</w:t>
      </w:r>
      <w:r>
        <w:fldChar w:fldCharType="begin"/>
      </w:r>
      <w:r>
        <w:instrText xml:space="preserve"> HYPERLINK "http://www.revistastpr.com/index.php/rstpr/article/view/54/43" \h </w:instrText>
      </w:r>
      <w:r>
        <w:fldChar w:fldCharType="separate"/>
      </w:r>
      <w:r>
        <w:rPr>
          <w:rFonts w:ascii="Times New Roman" w:eastAsia="Times New Roman" w:hAnsi="Times New Roman" w:cs="Times New Roman"/>
          <w:sz w:val="24"/>
          <w:szCs w:val="24"/>
        </w:rPr>
        <w:t>http://www.revistastpr.com/index.php/rstpr/article/view/54/43</w:t>
      </w:r>
      <w:r>
        <w:rPr>
          <w:rFonts w:ascii="Times New Roman" w:eastAsia="Times New Roman" w:hAnsi="Times New Roman" w:cs="Times New Roman"/>
          <w:sz w:val="24"/>
          <w:szCs w:val="24"/>
        </w:rPr>
        <w:fldChar w:fldCharType="end"/>
      </w:r>
      <w:r>
        <w:rPr>
          <w:rFonts w:ascii="Times New Roman" w:eastAsia="Times New Roman" w:hAnsi="Times New Roman" w:cs="Times New Roman"/>
          <w:sz w:val="24"/>
          <w:szCs w:val="24"/>
        </w:rPr>
        <w:t xml:space="preserve">&gt; </w:t>
      </w:r>
    </w:p>
    <w:p w14:paraId="00000069" w14:textId="77777777" w:rsidR="00C3703E" w:rsidRDefault="00C3703E" w:rsidP="009562D1">
      <w:pPr>
        <w:spacing w:line="360" w:lineRule="auto"/>
        <w:jc w:val="both"/>
        <w:rPr>
          <w:rFonts w:ascii="Times New Roman" w:eastAsia="Times New Roman" w:hAnsi="Times New Roman" w:cs="Times New Roman"/>
          <w:sz w:val="24"/>
          <w:szCs w:val="24"/>
        </w:rPr>
        <w:pPrChange w:id="142" w:author="Autor">
          <w:pPr>
            <w:spacing w:line="240" w:lineRule="auto"/>
            <w:jc w:val="both"/>
          </w:pPr>
        </w:pPrChange>
      </w:pPr>
    </w:p>
    <w:p w14:paraId="0000006A" w14:textId="77777777" w:rsidR="00C3703E" w:rsidRDefault="00077BC5" w:rsidP="009562D1">
      <w:pPr>
        <w:spacing w:line="360" w:lineRule="auto"/>
        <w:jc w:val="both"/>
        <w:rPr>
          <w:rFonts w:ascii="Times New Roman" w:eastAsia="Times New Roman" w:hAnsi="Times New Roman" w:cs="Times New Roman"/>
          <w:sz w:val="24"/>
          <w:szCs w:val="24"/>
        </w:rPr>
        <w:pPrChange w:id="143" w:author="Autor">
          <w:pPr>
            <w:spacing w:line="240" w:lineRule="auto"/>
            <w:jc w:val="both"/>
          </w:pPr>
        </w:pPrChange>
      </w:pPr>
      <w:r>
        <w:rPr>
          <w:rFonts w:ascii="Times New Roman" w:eastAsia="Times New Roman" w:hAnsi="Times New Roman" w:cs="Times New Roman"/>
          <w:sz w:val="24"/>
          <w:szCs w:val="24"/>
        </w:rPr>
        <w:t xml:space="preserve">ALMEIDA, Bruno Rodrigues de. </w:t>
      </w:r>
      <w:r>
        <w:rPr>
          <w:rFonts w:ascii="Times New Roman" w:eastAsia="Times New Roman" w:hAnsi="Times New Roman" w:cs="Times New Roman"/>
          <w:b/>
          <w:sz w:val="24"/>
          <w:szCs w:val="24"/>
        </w:rPr>
        <w:t>O Direito Internacional Privado acerca dos Casamentos e Parcerias en</w:t>
      </w:r>
      <w:r>
        <w:rPr>
          <w:rFonts w:ascii="Times New Roman" w:eastAsia="Times New Roman" w:hAnsi="Times New Roman" w:cs="Times New Roman"/>
          <w:b/>
          <w:sz w:val="24"/>
          <w:szCs w:val="24"/>
        </w:rPr>
        <w:t>tre Pessoas do Mesmo Sexo no Contexto do Mercosul.</w:t>
      </w:r>
      <w:r>
        <w:rPr>
          <w:rFonts w:ascii="Times New Roman" w:eastAsia="Times New Roman" w:hAnsi="Times New Roman" w:cs="Times New Roman"/>
          <w:sz w:val="24"/>
          <w:szCs w:val="24"/>
        </w:rPr>
        <w:t xml:space="preserve"> RSTPR, Año 2, Nº 3; Marzo 2014; pp. 237-273. Disponível em: &lt;http://www.revistastpr.com/index.php/rstpr/article/view/89&gt; </w:t>
      </w:r>
    </w:p>
    <w:p w14:paraId="0000006B" w14:textId="77777777" w:rsidR="00C3703E" w:rsidRDefault="00C3703E" w:rsidP="009562D1">
      <w:pPr>
        <w:spacing w:line="360" w:lineRule="auto"/>
        <w:jc w:val="both"/>
        <w:rPr>
          <w:rFonts w:ascii="Times New Roman" w:eastAsia="Times New Roman" w:hAnsi="Times New Roman" w:cs="Times New Roman"/>
          <w:sz w:val="24"/>
          <w:szCs w:val="24"/>
        </w:rPr>
        <w:pPrChange w:id="144" w:author="Autor">
          <w:pPr>
            <w:spacing w:line="240" w:lineRule="auto"/>
            <w:jc w:val="both"/>
          </w:pPr>
        </w:pPrChange>
      </w:pPr>
    </w:p>
    <w:p w14:paraId="0000006C" w14:textId="77777777" w:rsidR="00C3703E" w:rsidRDefault="00077BC5" w:rsidP="009562D1">
      <w:pPr>
        <w:spacing w:after="200" w:line="360" w:lineRule="auto"/>
        <w:jc w:val="both"/>
        <w:rPr>
          <w:rFonts w:ascii="Times New Roman" w:eastAsia="Times New Roman" w:hAnsi="Times New Roman" w:cs="Times New Roman"/>
          <w:sz w:val="24"/>
          <w:szCs w:val="24"/>
        </w:rPr>
        <w:pPrChange w:id="145" w:author="Autor">
          <w:pPr>
            <w:spacing w:after="200" w:line="240" w:lineRule="auto"/>
            <w:jc w:val="both"/>
          </w:pPr>
        </w:pPrChange>
      </w:pPr>
      <w:r>
        <w:rPr>
          <w:rFonts w:ascii="Times New Roman" w:eastAsia="Times New Roman" w:hAnsi="Times New Roman" w:cs="Times New Roman"/>
          <w:sz w:val="24"/>
          <w:szCs w:val="24"/>
        </w:rPr>
        <w:t xml:space="preserve">ANDRADE, Mayra Thais; RIBEIRO, Antônio Carlos. </w:t>
      </w:r>
      <w:r>
        <w:rPr>
          <w:rFonts w:ascii="Times New Roman" w:eastAsia="Times New Roman" w:hAnsi="Times New Roman" w:cs="Times New Roman"/>
          <w:b/>
          <w:sz w:val="24"/>
          <w:szCs w:val="24"/>
        </w:rPr>
        <w:t>A Necessidade de Inclusão de uma Ag</w:t>
      </w:r>
      <w:r>
        <w:rPr>
          <w:rFonts w:ascii="Times New Roman" w:eastAsia="Times New Roman" w:hAnsi="Times New Roman" w:cs="Times New Roman"/>
          <w:b/>
          <w:sz w:val="24"/>
          <w:szCs w:val="24"/>
        </w:rPr>
        <w:t>enda Plural para Promover a Parceria Estado-sociedade na Integração Econômica no Mercosul</w:t>
      </w:r>
      <w:r>
        <w:rPr>
          <w:rFonts w:ascii="Times New Roman" w:eastAsia="Times New Roman" w:hAnsi="Times New Roman" w:cs="Times New Roman"/>
          <w:sz w:val="24"/>
          <w:szCs w:val="24"/>
        </w:rPr>
        <w:t>. RSTPR . Año 4, Nº 8; Agosto 2016; pp. 136 - 156.</w:t>
      </w:r>
    </w:p>
    <w:p w14:paraId="0000006D" w14:textId="77777777" w:rsidR="00C3703E" w:rsidRDefault="00077BC5" w:rsidP="009562D1">
      <w:pPr>
        <w:spacing w:line="360" w:lineRule="auto"/>
        <w:jc w:val="both"/>
        <w:rPr>
          <w:rFonts w:ascii="Times New Roman" w:eastAsia="Times New Roman" w:hAnsi="Times New Roman" w:cs="Times New Roman"/>
          <w:sz w:val="24"/>
          <w:szCs w:val="24"/>
        </w:rPr>
        <w:pPrChange w:id="146" w:author="Autor">
          <w:pPr>
            <w:spacing w:line="240" w:lineRule="auto"/>
            <w:jc w:val="both"/>
          </w:pPr>
        </w:pPrChange>
      </w:pPr>
      <w:r>
        <w:rPr>
          <w:rFonts w:ascii="Times New Roman" w:eastAsia="Times New Roman" w:hAnsi="Times New Roman" w:cs="Times New Roman"/>
          <w:sz w:val="24"/>
          <w:szCs w:val="24"/>
        </w:rPr>
        <w:t xml:space="preserve">ESPÍNOLA, Caroline Cavalcante. </w:t>
      </w:r>
      <w:r>
        <w:rPr>
          <w:rFonts w:ascii="Times New Roman" w:eastAsia="Times New Roman" w:hAnsi="Times New Roman" w:cs="Times New Roman"/>
          <w:b/>
          <w:sz w:val="24"/>
          <w:szCs w:val="24"/>
        </w:rPr>
        <w:t>Dos direitos humanos das mulheres à efetividade da lei Maria da Penha</w:t>
      </w:r>
      <w:r>
        <w:rPr>
          <w:rFonts w:ascii="Times New Roman" w:eastAsia="Times New Roman" w:hAnsi="Times New Roman" w:cs="Times New Roman"/>
          <w:sz w:val="24"/>
          <w:szCs w:val="24"/>
        </w:rPr>
        <w:t>. Curitiba: Appr</w:t>
      </w:r>
      <w:r>
        <w:rPr>
          <w:rFonts w:ascii="Times New Roman" w:eastAsia="Times New Roman" w:hAnsi="Times New Roman" w:cs="Times New Roman"/>
          <w:sz w:val="24"/>
          <w:szCs w:val="24"/>
        </w:rPr>
        <w:t>is, 2018.</w:t>
      </w:r>
    </w:p>
    <w:p w14:paraId="0000006E" w14:textId="77777777" w:rsidR="00C3703E" w:rsidRDefault="00C3703E" w:rsidP="009562D1">
      <w:pPr>
        <w:spacing w:line="360" w:lineRule="auto"/>
        <w:jc w:val="both"/>
        <w:rPr>
          <w:rFonts w:ascii="Times New Roman" w:eastAsia="Times New Roman" w:hAnsi="Times New Roman" w:cs="Times New Roman"/>
          <w:sz w:val="24"/>
          <w:szCs w:val="24"/>
        </w:rPr>
        <w:pPrChange w:id="147" w:author="Autor">
          <w:pPr>
            <w:spacing w:line="240" w:lineRule="auto"/>
            <w:jc w:val="both"/>
          </w:pPr>
        </w:pPrChange>
      </w:pPr>
    </w:p>
    <w:p w14:paraId="0000006F" w14:textId="77777777" w:rsidR="00C3703E" w:rsidRDefault="00077BC5" w:rsidP="009562D1">
      <w:pPr>
        <w:spacing w:line="360" w:lineRule="auto"/>
        <w:jc w:val="both"/>
        <w:rPr>
          <w:rFonts w:ascii="Times New Roman" w:eastAsia="Times New Roman" w:hAnsi="Times New Roman" w:cs="Times New Roman"/>
          <w:sz w:val="24"/>
          <w:szCs w:val="24"/>
        </w:rPr>
        <w:pPrChange w:id="148" w:author="Autor">
          <w:pPr>
            <w:spacing w:line="240" w:lineRule="auto"/>
            <w:jc w:val="both"/>
          </w:pPr>
        </w:pPrChange>
      </w:pPr>
      <w:r>
        <w:rPr>
          <w:rFonts w:ascii="Times New Roman" w:eastAsia="Times New Roman" w:hAnsi="Times New Roman" w:cs="Times New Roman"/>
          <w:sz w:val="24"/>
          <w:szCs w:val="24"/>
        </w:rPr>
        <w:t xml:space="preserve">GASPAR, R. , COSTA G., </w:t>
      </w:r>
      <w:r>
        <w:rPr>
          <w:rFonts w:ascii="Times New Roman" w:eastAsia="Times New Roman" w:hAnsi="Times New Roman" w:cs="Times New Roman"/>
          <w:i/>
          <w:sz w:val="24"/>
          <w:szCs w:val="24"/>
        </w:rPr>
        <w:t xml:space="preserve"> </w:t>
      </w:r>
      <w:r>
        <w:rPr>
          <w:rFonts w:ascii="Times New Roman" w:eastAsia="Times New Roman" w:hAnsi="Times New Roman" w:cs="Times New Roman"/>
          <w:b/>
          <w:sz w:val="24"/>
          <w:szCs w:val="24"/>
        </w:rPr>
        <w:t>Proteção dos direitos sociais como pavimentação do direito comunitário no âmbito do Mercosul</w:t>
      </w:r>
      <w:r>
        <w:rPr>
          <w:rFonts w:ascii="Times New Roman" w:eastAsia="Times New Roman" w:hAnsi="Times New Roman" w:cs="Times New Roman"/>
          <w:i/>
          <w:sz w:val="24"/>
          <w:szCs w:val="24"/>
        </w:rPr>
        <w:t>,</w:t>
      </w:r>
      <w:r>
        <w:rPr>
          <w:rFonts w:ascii="Times New Roman" w:eastAsia="Times New Roman" w:hAnsi="Times New Roman" w:cs="Times New Roman"/>
          <w:sz w:val="24"/>
          <w:szCs w:val="24"/>
        </w:rPr>
        <w:t xml:space="preserve"> Revista da Secretaria Permanente de Revisão do Mercosul, 3° ano, N°6; Agosto de 2015, p. 103-122. Disponível em &lt;</w:t>
      </w:r>
      <w:r>
        <w:fldChar w:fldCharType="begin"/>
      </w:r>
      <w:r>
        <w:instrText xml:space="preserve"> HYPERLINK "</w:instrText>
      </w:r>
      <w:r>
        <w:instrText xml:space="preserve">http://www.revistastpr.com/index.php/rstpr/article/view/148" \h </w:instrText>
      </w:r>
      <w:r>
        <w:fldChar w:fldCharType="separate"/>
      </w:r>
      <w:r>
        <w:rPr>
          <w:rFonts w:ascii="Times New Roman" w:eastAsia="Times New Roman" w:hAnsi="Times New Roman" w:cs="Times New Roman"/>
          <w:sz w:val="24"/>
          <w:szCs w:val="24"/>
        </w:rPr>
        <w:t>http://www.revistastpr.com/index.php/rstpr/article/view/148</w:t>
      </w:r>
      <w:r>
        <w:rPr>
          <w:rFonts w:ascii="Times New Roman" w:eastAsia="Times New Roman" w:hAnsi="Times New Roman" w:cs="Times New Roman"/>
          <w:sz w:val="24"/>
          <w:szCs w:val="24"/>
        </w:rPr>
        <w:fldChar w:fldCharType="end"/>
      </w:r>
      <w:r>
        <w:rPr>
          <w:rFonts w:ascii="Times New Roman" w:eastAsia="Times New Roman" w:hAnsi="Times New Roman" w:cs="Times New Roman"/>
          <w:sz w:val="24"/>
          <w:szCs w:val="24"/>
        </w:rPr>
        <w:t xml:space="preserve">&gt; </w:t>
      </w:r>
    </w:p>
    <w:p w14:paraId="00000070" w14:textId="77777777" w:rsidR="00C3703E" w:rsidRDefault="00C3703E" w:rsidP="009562D1">
      <w:pPr>
        <w:spacing w:line="360" w:lineRule="auto"/>
        <w:jc w:val="both"/>
        <w:rPr>
          <w:rFonts w:ascii="Times New Roman" w:eastAsia="Times New Roman" w:hAnsi="Times New Roman" w:cs="Times New Roman"/>
          <w:sz w:val="24"/>
          <w:szCs w:val="24"/>
        </w:rPr>
        <w:pPrChange w:id="149" w:author="Autor">
          <w:pPr>
            <w:spacing w:line="240" w:lineRule="auto"/>
            <w:jc w:val="both"/>
          </w:pPr>
        </w:pPrChange>
      </w:pPr>
    </w:p>
    <w:p w14:paraId="00000071" w14:textId="77777777" w:rsidR="00C3703E" w:rsidRDefault="00077BC5" w:rsidP="009562D1">
      <w:pPr>
        <w:spacing w:line="360" w:lineRule="auto"/>
        <w:jc w:val="both"/>
        <w:rPr>
          <w:rFonts w:ascii="Times New Roman" w:eastAsia="Times New Roman" w:hAnsi="Times New Roman" w:cs="Times New Roman"/>
          <w:sz w:val="24"/>
          <w:szCs w:val="24"/>
        </w:rPr>
        <w:pPrChange w:id="150" w:author="Autor">
          <w:pPr>
            <w:spacing w:line="240" w:lineRule="auto"/>
            <w:jc w:val="both"/>
          </w:pPr>
        </w:pPrChange>
      </w:pPr>
      <w:r>
        <w:rPr>
          <w:rFonts w:ascii="Times New Roman" w:eastAsia="Times New Roman" w:hAnsi="Times New Roman" w:cs="Times New Roman"/>
          <w:sz w:val="24"/>
          <w:szCs w:val="24"/>
        </w:rPr>
        <w:t xml:space="preserve">ITAMARATY. </w:t>
      </w:r>
      <w:r>
        <w:rPr>
          <w:rFonts w:ascii="Times New Roman" w:eastAsia="Times New Roman" w:hAnsi="Times New Roman" w:cs="Times New Roman"/>
          <w:b/>
          <w:sz w:val="24"/>
          <w:szCs w:val="24"/>
        </w:rPr>
        <w:t>Objetivos de Desenvolvimento Sustentável</w:t>
      </w:r>
      <w:r>
        <w:rPr>
          <w:rFonts w:ascii="Times New Roman" w:eastAsia="Times New Roman" w:hAnsi="Times New Roman" w:cs="Times New Roman"/>
          <w:sz w:val="24"/>
          <w:szCs w:val="24"/>
        </w:rPr>
        <w:t>. 11 fev. 2016. Disponível em: &lt;</w:t>
      </w:r>
      <w:r>
        <w:rPr>
          <w:rFonts w:ascii="Times New Roman" w:eastAsia="Times New Roman" w:hAnsi="Times New Roman" w:cs="Times New Roman"/>
          <w:sz w:val="24"/>
          <w:szCs w:val="24"/>
        </w:rPr>
        <w:t>http://www.itamaraty.gov.br/images/ed_desenvsust/ODSportugues12fev2016.pdf&gt;. Acesso em: out. 2018</w:t>
      </w:r>
    </w:p>
    <w:p w14:paraId="00000072" w14:textId="77777777" w:rsidR="00C3703E" w:rsidRDefault="00C3703E" w:rsidP="009562D1">
      <w:pPr>
        <w:spacing w:line="360" w:lineRule="auto"/>
        <w:jc w:val="both"/>
        <w:rPr>
          <w:rFonts w:ascii="Times New Roman" w:eastAsia="Times New Roman" w:hAnsi="Times New Roman" w:cs="Times New Roman"/>
          <w:sz w:val="24"/>
          <w:szCs w:val="24"/>
        </w:rPr>
        <w:pPrChange w:id="151" w:author="Autor">
          <w:pPr>
            <w:spacing w:line="240" w:lineRule="auto"/>
            <w:jc w:val="both"/>
          </w:pPr>
        </w:pPrChange>
      </w:pPr>
    </w:p>
    <w:p w14:paraId="00000073" w14:textId="77777777" w:rsidR="00C3703E" w:rsidRDefault="00077BC5" w:rsidP="009562D1">
      <w:pPr>
        <w:spacing w:line="360" w:lineRule="auto"/>
        <w:jc w:val="both"/>
        <w:rPr>
          <w:rFonts w:ascii="Times New Roman" w:eastAsia="Times New Roman" w:hAnsi="Times New Roman" w:cs="Times New Roman"/>
          <w:sz w:val="24"/>
          <w:szCs w:val="24"/>
        </w:rPr>
        <w:pPrChange w:id="152" w:author="Autor">
          <w:pPr>
            <w:spacing w:line="240" w:lineRule="auto"/>
            <w:jc w:val="both"/>
          </w:pPr>
        </w:pPrChange>
      </w:pPr>
      <w:r>
        <w:rPr>
          <w:rFonts w:ascii="Times New Roman" w:eastAsia="Times New Roman" w:hAnsi="Times New Roman" w:cs="Times New Roman"/>
          <w:sz w:val="24"/>
          <w:szCs w:val="24"/>
        </w:rPr>
        <w:t xml:space="preserve">MENCATO, Stephany Dayana Pereira. </w:t>
      </w:r>
      <w:r>
        <w:rPr>
          <w:rFonts w:ascii="Times New Roman" w:eastAsia="Times New Roman" w:hAnsi="Times New Roman" w:cs="Times New Roman"/>
          <w:b/>
          <w:sz w:val="24"/>
          <w:szCs w:val="24"/>
        </w:rPr>
        <w:t>Sistema interamericano de direitos humanos, uma abordagem biopolítica.</w:t>
      </w:r>
      <w:r>
        <w:rPr>
          <w:rFonts w:ascii="Times New Roman" w:eastAsia="Times New Roman" w:hAnsi="Times New Roman" w:cs="Times New Roman"/>
          <w:i/>
          <w:sz w:val="24"/>
          <w:szCs w:val="24"/>
        </w:rPr>
        <w:t xml:space="preserve"> </w:t>
      </w:r>
      <w:r>
        <w:rPr>
          <w:rFonts w:ascii="Times New Roman" w:eastAsia="Times New Roman" w:hAnsi="Times New Roman" w:cs="Times New Roman"/>
          <w:sz w:val="24"/>
          <w:szCs w:val="24"/>
        </w:rPr>
        <w:t>Revista LEVS/UNESP- Marília. Edição 20. Novembro/201</w:t>
      </w:r>
      <w:r>
        <w:rPr>
          <w:rFonts w:ascii="Times New Roman" w:eastAsia="Times New Roman" w:hAnsi="Times New Roman" w:cs="Times New Roman"/>
          <w:sz w:val="24"/>
          <w:szCs w:val="24"/>
        </w:rPr>
        <w:t>7.</w:t>
      </w:r>
    </w:p>
    <w:p w14:paraId="00000074" w14:textId="77777777" w:rsidR="00C3703E" w:rsidRDefault="00C3703E" w:rsidP="009562D1">
      <w:pPr>
        <w:spacing w:line="360" w:lineRule="auto"/>
        <w:jc w:val="both"/>
        <w:rPr>
          <w:rFonts w:ascii="Times New Roman" w:eastAsia="Times New Roman" w:hAnsi="Times New Roman" w:cs="Times New Roman"/>
          <w:sz w:val="24"/>
          <w:szCs w:val="24"/>
        </w:rPr>
        <w:pPrChange w:id="153" w:author="Autor">
          <w:pPr>
            <w:spacing w:line="240" w:lineRule="auto"/>
            <w:jc w:val="both"/>
          </w:pPr>
        </w:pPrChange>
      </w:pPr>
    </w:p>
    <w:p w14:paraId="00000075" w14:textId="77777777" w:rsidR="00C3703E" w:rsidRDefault="00077BC5" w:rsidP="009562D1">
      <w:pPr>
        <w:spacing w:line="360" w:lineRule="auto"/>
        <w:jc w:val="both"/>
        <w:rPr>
          <w:rFonts w:ascii="Times New Roman" w:eastAsia="Times New Roman" w:hAnsi="Times New Roman" w:cs="Times New Roman"/>
          <w:sz w:val="24"/>
          <w:szCs w:val="24"/>
        </w:rPr>
        <w:pPrChange w:id="154" w:author="Autor">
          <w:pPr>
            <w:spacing w:line="240" w:lineRule="auto"/>
            <w:jc w:val="both"/>
          </w:pPr>
        </w:pPrChange>
      </w:pPr>
      <w:r>
        <w:rPr>
          <w:rFonts w:ascii="Times New Roman" w:eastAsia="Times New Roman" w:hAnsi="Times New Roman" w:cs="Times New Roman"/>
          <w:sz w:val="24"/>
          <w:szCs w:val="24"/>
        </w:rPr>
        <w:t xml:space="preserve">MENCATO, Stephany Dayana Pereira. </w:t>
      </w:r>
      <w:r>
        <w:rPr>
          <w:rFonts w:ascii="Times New Roman" w:eastAsia="Times New Roman" w:hAnsi="Times New Roman" w:cs="Times New Roman"/>
          <w:b/>
          <w:sz w:val="24"/>
          <w:szCs w:val="24"/>
        </w:rPr>
        <w:t xml:space="preserve">QUEER, INTERSECIONALIDADE E COLONIALIDADE DO GÊNERO. </w:t>
      </w:r>
      <w:r>
        <w:rPr>
          <w:rFonts w:ascii="Times New Roman" w:eastAsia="Times New Roman" w:hAnsi="Times New Roman" w:cs="Times New Roman"/>
          <w:sz w:val="24"/>
          <w:szCs w:val="24"/>
        </w:rPr>
        <w:t>Anais digitais do III Colóquio Nacional de Estudos de Gênero e História: Epistemologias, Interdições e Justiça Social. Laboratório de Pesquisas e Estudos de Gênero -</w:t>
      </w:r>
      <w:r>
        <w:rPr>
          <w:rFonts w:ascii="Times New Roman" w:eastAsia="Times New Roman" w:hAnsi="Times New Roman" w:cs="Times New Roman"/>
          <w:sz w:val="24"/>
          <w:szCs w:val="24"/>
        </w:rPr>
        <w:t xml:space="preserve"> LAPEG, UNIOESTE/Marechal Cândido Rondon/PR, 2018.</w:t>
      </w:r>
    </w:p>
    <w:p w14:paraId="00000076" w14:textId="77777777" w:rsidR="00C3703E" w:rsidRDefault="00C3703E" w:rsidP="009562D1">
      <w:pPr>
        <w:spacing w:line="360" w:lineRule="auto"/>
        <w:jc w:val="both"/>
        <w:rPr>
          <w:rFonts w:ascii="Times New Roman" w:eastAsia="Times New Roman" w:hAnsi="Times New Roman" w:cs="Times New Roman"/>
          <w:sz w:val="24"/>
          <w:szCs w:val="24"/>
        </w:rPr>
        <w:pPrChange w:id="155" w:author="Autor">
          <w:pPr>
            <w:spacing w:line="240" w:lineRule="auto"/>
            <w:jc w:val="both"/>
          </w:pPr>
        </w:pPrChange>
      </w:pPr>
    </w:p>
    <w:p w14:paraId="00000077" w14:textId="77777777" w:rsidR="00C3703E" w:rsidRDefault="00077BC5" w:rsidP="009562D1">
      <w:pPr>
        <w:spacing w:line="360" w:lineRule="auto"/>
        <w:jc w:val="both"/>
        <w:rPr>
          <w:rFonts w:ascii="Times New Roman" w:eastAsia="Times New Roman" w:hAnsi="Times New Roman" w:cs="Times New Roman"/>
          <w:sz w:val="24"/>
          <w:szCs w:val="24"/>
        </w:rPr>
        <w:pPrChange w:id="156" w:author="Autor">
          <w:pPr>
            <w:spacing w:line="240" w:lineRule="auto"/>
            <w:jc w:val="both"/>
          </w:pPr>
        </w:pPrChange>
      </w:pPr>
      <w:r w:rsidRPr="00A06729">
        <w:rPr>
          <w:rFonts w:ascii="Times New Roman" w:eastAsia="Times New Roman" w:hAnsi="Times New Roman" w:cs="Times New Roman"/>
          <w:sz w:val="24"/>
          <w:szCs w:val="24"/>
          <w:lang w:val="es-ES"/>
        </w:rPr>
        <w:t xml:space="preserve">MERCOSUL. </w:t>
      </w:r>
      <w:r w:rsidRPr="00A06729">
        <w:rPr>
          <w:rFonts w:ascii="Times New Roman" w:eastAsia="Times New Roman" w:hAnsi="Times New Roman" w:cs="Times New Roman"/>
          <w:b/>
          <w:sz w:val="24"/>
          <w:szCs w:val="24"/>
          <w:lang w:val="es-ES"/>
        </w:rPr>
        <w:t>Carta De Buenos Aires Sobre Compromiso Social En El Mercosur, Bolivia Y Chile .</w:t>
      </w:r>
      <w:r w:rsidRPr="00A06729">
        <w:rPr>
          <w:rFonts w:ascii="Times New Roman" w:eastAsia="Times New Roman" w:hAnsi="Times New Roman" w:cs="Times New Roman"/>
          <w:sz w:val="24"/>
          <w:szCs w:val="24"/>
          <w:lang w:val="es-ES"/>
        </w:rPr>
        <w:t xml:space="preserve"> </w:t>
      </w:r>
      <w:r>
        <w:rPr>
          <w:rFonts w:ascii="Times New Roman" w:eastAsia="Times New Roman" w:hAnsi="Times New Roman" w:cs="Times New Roman"/>
          <w:sz w:val="24"/>
          <w:szCs w:val="24"/>
        </w:rPr>
        <w:t>2000. Disponível em: &lt;http://www.legisalud.gov.ar/dels/carta_bsas.pdf&gt;. Acesso em out. 2018.</w:t>
      </w:r>
    </w:p>
    <w:p w14:paraId="00000078" w14:textId="77777777" w:rsidR="00C3703E" w:rsidRDefault="00C3703E" w:rsidP="009562D1">
      <w:pPr>
        <w:spacing w:line="360" w:lineRule="auto"/>
        <w:jc w:val="both"/>
        <w:rPr>
          <w:rFonts w:ascii="Times New Roman" w:eastAsia="Times New Roman" w:hAnsi="Times New Roman" w:cs="Times New Roman"/>
          <w:sz w:val="24"/>
          <w:szCs w:val="24"/>
        </w:rPr>
        <w:pPrChange w:id="157" w:author="Autor">
          <w:pPr>
            <w:spacing w:line="240" w:lineRule="auto"/>
            <w:jc w:val="both"/>
          </w:pPr>
        </w:pPrChange>
      </w:pPr>
    </w:p>
    <w:p w14:paraId="00000079" w14:textId="77777777" w:rsidR="00C3703E" w:rsidRDefault="00077BC5" w:rsidP="009562D1">
      <w:pPr>
        <w:spacing w:line="360" w:lineRule="auto"/>
        <w:jc w:val="both"/>
        <w:rPr>
          <w:rFonts w:ascii="Times New Roman" w:eastAsia="Times New Roman" w:hAnsi="Times New Roman" w:cs="Times New Roman"/>
          <w:sz w:val="24"/>
          <w:szCs w:val="24"/>
        </w:rPr>
        <w:pPrChange w:id="158" w:author="Autor">
          <w:pPr>
            <w:spacing w:line="240" w:lineRule="auto"/>
            <w:jc w:val="both"/>
          </w:pPr>
        </w:pPrChange>
      </w:pPr>
      <w:r>
        <w:rPr>
          <w:rFonts w:ascii="Times New Roman" w:eastAsia="Times New Roman" w:hAnsi="Times New Roman" w:cs="Times New Roman"/>
          <w:sz w:val="24"/>
          <w:szCs w:val="24"/>
        </w:rPr>
        <w:t xml:space="preserve">MERCOSUL. </w:t>
      </w:r>
      <w:r>
        <w:rPr>
          <w:rFonts w:ascii="Times New Roman" w:eastAsia="Times New Roman" w:hAnsi="Times New Roman" w:cs="Times New Roman"/>
          <w:b/>
          <w:sz w:val="24"/>
          <w:szCs w:val="24"/>
        </w:rPr>
        <w:t>Declaracio</w:t>
      </w:r>
      <w:r>
        <w:rPr>
          <w:rFonts w:ascii="Times New Roman" w:eastAsia="Times New Roman" w:hAnsi="Times New Roman" w:cs="Times New Roman"/>
          <w:b/>
          <w:sz w:val="24"/>
          <w:szCs w:val="24"/>
        </w:rPr>
        <w:t>nes Presidenciales.</w:t>
      </w:r>
      <w:r>
        <w:rPr>
          <w:rFonts w:ascii="Times New Roman" w:eastAsia="Times New Roman" w:hAnsi="Times New Roman" w:cs="Times New Roman"/>
          <w:sz w:val="24"/>
          <w:szCs w:val="24"/>
        </w:rPr>
        <w:t xml:space="preserve"> 2018. Disponível em: &lt;http://www.cartillaciudadania.mercosur.int/uploads/pdf/es/declaraciones%20presidenciales.pdf&gt;. Acesso em out. 2018a.</w:t>
      </w:r>
    </w:p>
    <w:p w14:paraId="0000007A" w14:textId="77777777" w:rsidR="00C3703E" w:rsidRDefault="00C3703E" w:rsidP="009562D1">
      <w:pPr>
        <w:spacing w:line="360" w:lineRule="auto"/>
        <w:jc w:val="both"/>
        <w:rPr>
          <w:rFonts w:ascii="Times New Roman" w:eastAsia="Times New Roman" w:hAnsi="Times New Roman" w:cs="Times New Roman"/>
          <w:sz w:val="24"/>
          <w:szCs w:val="24"/>
        </w:rPr>
        <w:pPrChange w:id="159" w:author="Autor">
          <w:pPr>
            <w:spacing w:line="240" w:lineRule="auto"/>
            <w:jc w:val="both"/>
          </w:pPr>
        </w:pPrChange>
      </w:pPr>
    </w:p>
    <w:p w14:paraId="0000007B" w14:textId="77777777" w:rsidR="00C3703E" w:rsidRDefault="00077BC5" w:rsidP="009562D1">
      <w:pPr>
        <w:spacing w:line="360" w:lineRule="auto"/>
        <w:jc w:val="both"/>
        <w:rPr>
          <w:rFonts w:ascii="Times New Roman" w:eastAsia="Times New Roman" w:hAnsi="Times New Roman" w:cs="Times New Roman"/>
          <w:sz w:val="24"/>
          <w:szCs w:val="24"/>
        </w:rPr>
        <w:pPrChange w:id="160" w:author="Autor">
          <w:pPr>
            <w:spacing w:line="240" w:lineRule="auto"/>
            <w:jc w:val="both"/>
          </w:pPr>
        </w:pPrChange>
      </w:pPr>
      <w:r>
        <w:rPr>
          <w:rFonts w:ascii="Times New Roman" w:eastAsia="Times New Roman" w:hAnsi="Times New Roman" w:cs="Times New Roman"/>
          <w:sz w:val="24"/>
          <w:szCs w:val="24"/>
        </w:rPr>
        <w:t>MERCOSUL.</w:t>
      </w:r>
      <w:r>
        <w:rPr>
          <w:rFonts w:ascii="Times New Roman" w:eastAsia="Times New Roman" w:hAnsi="Times New Roman" w:cs="Times New Roman"/>
          <w:b/>
          <w:sz w:val="24"/>
          <w:szCs w:val="24"/>
        </w:rPr>
        <w:t xml:space="preserve"> Saiba mais sobre o MERCOSUL. </w:t>
      </w:r>
      <w:r>
        <w:rPr>
          <w:rFonts w:ascii="Times New Roman" w:eastAsia="Times New Roman" w:hAnsi="Times New Roman" w:cs="Times New Roman"/>
          <w:sz w:val="24"/>
          <w:szCs w:val="24"/>
        </w:rPr>
        <w:t>2018. Disponível em: &lt;http://www.mercosul.gov.br/saiba-ma</w:t>
      </w:r>
      <w:r>
        <w:rPr>
          <w:rFonts w:ascii="Times New Roman" w:eastAsia="Times New Roman" w:hAnsi="Times New Roman" w:cs="Times New Roman"/>
          <w:sz w:val="24"/>
          <w:szCs w:val="24"/>
        </w:rPr>
        <w:t>is-sobre-o-mercosul&gt;. Acesso em out. 2018b.</w:t>
      </w:r>
    </w:p>
    <w:p w14:paraId="0000007C" w14:textId="77777777" w:rsidR="00C3703E" w:rsidRDefault="00C3703E" w:rsidP="009562D1">
      <w:pPr>
        <w:spacing w:line="360" w:lineRule="auto"/>
        <w:jc w:val="both"/>
        <w:rPr>
          <w:rFonts w:ascii="Times New Roman" w:eastAsia="Times New Roman" w:hAnsi="Times New Roman" w:cs="Times New Roman"/>
          <w:sz w:val="24"/>
          <w:szCs w:val="24"/>
        </w:rPr>
        <w:pPrChange w:id="161" w:author="Autor">
          <w:pPr>
            <w:spacing w:line="240" w:lineRule="auto"/>
            <w:jc w:val="both"/>
          </w:pPr>
        </w:pPrChange>
      </w:pPr>
    </w:p>
    <w:p w14:paraId="0000007D" w14:textId="77777777" w:rsidR="00C3703E" w:rsidRDefault="00077BC5" w:rsidP="009562D1">
      <w:pPr>
        <w:spacing w:line="360" w:lineRule="auto"/>
        <w:jc w:val="both"/>
        <w:rPr>
          <w:rFonts w:ascii="Times New Roman" w:eastAsia="Times New Roman" w:hAnsi="Times New Roman" w:cs="Times New Roman"/>
          <w:sz w:val="24"/>
          <w:szCs w:val="24"/>
        </w:rPr>
        <w:pPrChange w:id="162" w:author="Autor">
          <w:pPr>
            <w:spacing w:line="240" w:lineRule="auto"/>
            <w:jc w:val="both"/>
          </w:pPr>
        </w:pPrChange>
      </w:pPr>
      <w:r>
        <w:rPr>
          <w:rFonts w:ascii="Times New Roman" w:eastAsia="Times New Roman" w:hAnsi="Times New Roman" w:cs="Times New Roman"/>
          <w:sz w:val="24"/>
          <w:szCs w:val="24"/>
        </w:rPr>
        <w:t xml:space="preserve">MERCOSUR. </w:t>
      </w:r>
      <w:r>
        <w:rPr>
          <w:rFonts w:ascii="Times New Roman" w:eastAsia="Times New Roman" w:hAnsi="Times New Roman" w:cs="Times New Roman"/>
          <w:b/>
          <w:sz w:val="24"/>
          <w:szCs w:val="24"/>
        </w:rPr>
        <w:t>Instituto de Políticas Públicas em Direitos Humanos (IPPDH)</w:t>
      </w:r>
      <w:r>
        <w:rPr>
          <w:rFonts w:ascii="Times New Roman" w:eastAsia="Times New Roman" w:hAnsi="Times New Roman" w:cs="Times New Roman"/>
          <w:sz w:val="24"/>
          <w:szCs w:val="24"/>
        </w:rPr>
        <w:t>. 2018. Disponível em: &lt;http://www.ippdh.mercosur.int/pt-br/missao-visao-e-objetivos/&gt;. Acesso em out. 2018.</w:t>
      </w:r>
    </w:p>
    <w:p w14:paraId="0000007E" w14:textId="77777777" w:rsidR="00C3703E" w:rsidRDefault="00C3703E" w:rsidP="009562D1">
      <w:pPr>
        <w:spacing w:line="360" w:lineRule="auto"/>
        <w:jc w:val="both"/>
        <w:rPr>
          <w:rFonts w:ascii="Times New Roman" w:eastAsia="Times New Roman" w:hAnsi="Times New Roman" w:cs="Times New Roman"/>
          <w:sz w:val="24"/>
          <w:szCs w:val="24"/>
        </w:rPr>
        <w:pPrChange w:id="163" w:author="Autor">
          <w:pPr>
            <w:spacing w:line="240" w:lineRule="auto"/>
            <w:jc w:val="both"/>
          </w:pPr>
        </w:pPrChange>
      </w:pPr>
    </w:p>
    <w:p w14:paraId="0000007F" w14:textId="77777777" w:rsidR="00C3703E" w:rsidRDefault="00077BC5" w:rsidP="009562D1">
      <w:pPr>
        <w:spacing w:line="360" w:lineRule="auto"/>
        <w:jc w:val="both"/>
        <w:rPr>
          <w:rFonts w:ascii="Times New Roman" w:eastAsia="Times New Roman" w:hAnsi="Times New Roman" w:cs="Times New Roman"/>
          <w:sz w:val="24"/>
          <w:szCs w:val="24"/>
        </w:rPr>
        <w:pPrChange w:id="164" w:author="Autor">
          <w:pPr>
            <w:spacing w:line="240" w:lineRule="auto"/>
            <w:jc w:val="both"/>
          </w:pPr>
        </w:pPrChange>
      </w:pPr>
      <w:r>
        <w:rPr>
          <w:rFonts w:ascii="Times New Roman" w:eastAsia="Times New Roman" w:hAnsi="Times New Roman" w:cs="Times New Roman"/>
          <w:sz w:val="24"/>
          <w:szCs w:val="24"/>
        </w:rPr>
        <w:t xml:space="preserve">MERCOSUR. </w:t>
      </w:r>
      <w:r>
        <w:rPr>
          <w:rFonts w:ascii="Times New Roman" w:eastAsia="Times New Roman" w:hAnsi="Times New Roman" w:cs="Times New Roman"/>
          <w:b/>
          <w:sz w:val="24"/>
          <w:szCs w:val="24"/>
        </w:rPr>
        <w:t>XII Reunião Especializada de Estatísticas do MERCOSUL (REES).</w:t>
      </w:r>
      <w:r>
        <w:rPr>
          <w:rFonts w:ascii="Times New Roman" w:eastAsia="Times New Roman" w:hAnsi="Times New Roman" w:cs="Times New Roman"/>
          <w:sz w:val="24"/>
          <w:szCs w:val="24"/>
        </w:rPr>
        <w:t xml:space="preserve"> realizada em 15/05/2017. Disponível em: &lt;http://www.mercosur.int/innovaportal/v/8377/3/innova.front/xii-reuni%C3%A3o-especializada-de-estatisticas-do-mercosul-rees&gt;. Acesso em out. 2018.</w:t>
      </w:r>
    </w:p>
    <w:p w14:paraId="00000080" w14:textId="77777777" w:rsidR="00C3703E" w:rsidRDefault="00C3703E" w:rsidP="009562D1">
      <w:pPr>
        <w:spacing w:line="360" w:lineRule="auto"/>
        <w:jc w:val="both"/>
        <w:rPr>
          <w:rFonts w:ascii="Times New Roman" w:eastAsia="Times New Roman" w:hAnsi="Times New Roman" w:cs="Times New Roman"/>
          <w:sz w:val="24"/>
          <w:szCs w:val="24"/>
        </w:rPr>
        <w:pPrChange w:id="165" w:author="Autor">
          <w:pPr>
            <w:spacing w:line="240" w:lineRule="auto"/>
            <w:jc w:val="both"/>
          </w:pPr>
        </w:pPrChange>
      </w:pPr>
    </w:p>
    <w:p w14:paraId="00000081" w14:textId="77777777" w:rsidR="00C3703E" w:rsidRPr="00A06729" w:rsidRDefault="00077BC5" w:rsidP="009562D1">
      <w:pPr>
        <w:spacing w:line="360" w:lineRule="auto"/>
        <w:jc w:val="both"/>
        <w:rPr>
          <w:rFonts w:ascii="Times New Roman" w:eastAsia="Times New Roman" w:hAnsi="Times New Roman" w:cs="Times New Roman"/>
          <w:sz w:val="24"/>
          <w:szCs w:val="24"/>
          <w:lang w:val="es-ES"/>
        </w:rPr>
        <w:pPrChange w:id="166" w:author="Autor">
          <w:pPr>
            <w:spacing w:line="240" w:lineRule="auto"/>
            <w:jc w:val="both"/>
          </w:pPr>
        </w:pPrChange>
      </w:pPr>
      <w:r>
        <w:rPr>
          <w:rFonts w:ascii="Times New Roman" w:eastAsia="Times New Roman" w:hAnsi="Times New Roman" w:cs="Times New Roman"/>
          <w:sz w:val="24"/>
          <w:szCs w:val="24"/>
        </w:rPr>
        <w:t>ORGANI</w:t>
      </w:r>
      <w:r>
        <w:rPr>
          <w:rFonts w:ascii="Times New Roman" w:eastAsia="Times New Roman" w:hAnsi="Times New Roman" w:cs="Times New Roman"/>
          <w:sz w:val="24"/>
          <w:szCs w:val="24"/>
        </w:rPr>
        <w:t xml:space="preserve">ZATION OF AMERICAN STATES. </w:t>
      </w:r>
      <w:r>
        <w:rPr>
          <w:rFonts w:ascii="Times New Roman" w:eastAsia="Times New Roman" w:hAnsi="Times New Roman" w:cs="Times New Roman"/>
          <w:b/>
          <w:sz w:val="24"/>
          <w:szCs w:val="24"/>
        </w:rPr>
        <w:t>Carta da organização dos estados americanos (A-41)</w:t>
      </w:r>
      <w:r>
        <w:rPr>
          <w:rFonts w:ascii="Times New Roman" w:eastAsia="Times New Roman" w:hAnsi="Times New Roman" w:cs="Times New Roman"/>
          <w:sz w:val="24"/>
          <w:szCs w:val="24"/>
        </w:rPr>
        <w:t xml:space="preserve">. 2011. Disponível em: &lt;https://www.oas.org/dil/port/tratados_A-41_Carta_da_Organiza%C3%A7%C3%A3o_dos_Estados_Americanos.pdf&gt;. </w:t>
      </w:r>
      <w:r w:rsidRPr="00A06729">
        <w:rPr>
          <w:rFonts w:ascii="Times New Roman" w:eastAsia="Times New Roman" w:hAnsi="Times New Roman" w:cs="Times New Roman"/>
          <w:sz w:val="24"/>
          <w:szCs w:val="24"/>
          <w:lang w:val="es-ES"/>
        </w:rPr>
        <w:t>Acesso em out. 2018.</w:t>
      </w:r>
    </w:p>
    <w:p w14:paraId="00000082" w14:textId="77777777" w:rsidR="00C3703E" w:rsidRPr="00A06729" w:rsidRDefault="00C3703E" w:rsidP="009562D1">
      <w:pPr>
        <w:spacing w:line="360" w:lineRule="auto"/>
        <w:jc w:val="both"/>
        <w:rPr>
          <w:rFonts w:ascii="Times New Roman" w:eastAsia="Times New Roman" w:hAnsi="Times New Roman" w:cs="Times New Roman"/>
          <w:sz w:val="24"/>
          <w:szCs w:val="24"/>
          <w:lang w:val="es-ES"/>
        </w:rPr>
        <w:pPrChange w:id="167" w:author="Autor">
          <w:pPr>
            <w:spacing w:line="240" w:lineRule="auto"/>
            <w:jc w:val="both"/>
          </w:pPr>
        </w:pPrChange>
      </w:pPr>
    </w:p>
    <w:p w14:paraId="00000083" w14:textId="77777777" w:rsidR="00C3703E" w:rsidRDefault="00077BC5" w:rsidP="009562D1">
      <w:pPr>
        <w:spacing w:after="200" w:line="360" w:lineRule="auto"/>
        <w:jc w:val="both"/>
        <w:rPr>
          <w:rFonts w:ascii="Times New Roman" w:eastAsia="Times New Roman" w:hAnsi="Times New Roman" w:cs="Times New Roman"/>
          <w:sz w:val="24"/>
          <w:szCs w:val="24"/>
        </w:rPr>
        <w:pPrChange w:id="168" w:author="Autor">
          <w:pPr>
            <w:spacing w:after="200" w:line="240" w:lineRule="auto"/>
            <w:jc w:val="both"/>
          </w:pPr>
        </w:pPrChange>
      </w:pPr>
      <w:r w:rsidRPr="00A06729">
        <w:rPr>
          <w:rFonts w:ascii="Times New Roman" w:eastAsia="Times New Roman" w:hAnsi="Times New Roman" w:cs="Times New Roman"/>
          <w:sz w:val="24"/>
          <w:szCs w:val="24"/>
          <w:lang w:val="es-ES"/>
        </w:rPr>
        <w:t xml:space="preserve">SEGATO, Rita L. </w:t>
      </w:r>
      <w:r w:rsidRPr="00A06729">
        <w:rPr>
          <w:rFonts w:ascii="Times New Roman" w:eastAsia="Times New Roman" w:hAnsi="Times New Roman" w:cs="Times New Roman"/>
          <w:b/>
          <w:sz w:val="24"/>
          <w:szCs w:val="24"/>
          <w:lang w:val="es-ES"/>
        </w:rPr>
        <w:t>Las estructura</w:t>
      </w:r>
      <w:r w:rsidRPr="00A06729">
        <w:rPr>
          <w:rFonts w:ascii="Times New Roman" w:eastAsia="Times New Roman" w:hAnsi="Times New Roman" w:cs="Times New Roman"/>
          <w:b/>
          <w:sz w:val="24"/>
          <w:szCs w:val="24"/>
          <w:lang w:val="es-ES"/>
        </w:rPr>
        <w:t>s elementales de la violencia: contrato y status en la etiología de la violencia</w:t>
      </w:r>
      <w:r w:rsidRPr="00A06729">
        <w:rPr>
          <w:rFonts w:ascii="Times New Roman" w:eastAsia="Times New Roman" w:hAnsi="Times New Roman" w:cs="Times New Roman"/>
          <w:sz w:val="24"/>
          <w:szCs w:val="24"/>
          <w:lang w:val="es-ES"/>
        </w:rPr>
        <w:t>. Conferencia leida el 30 de junio de 2003 en la abertura del Curso de Verano sobre Violencia de Género dirigido por el Magistrado Baltasar Garzón de al Audiencia Nacional de E</w:t>
      </w:r>
      <w:r w:rsidRPr="00A06729">
        <w:rPr>
          <w:rFonts w:ascii="Times New Roman" w:eastAsia="Times New Roman" w:hAnsi="Times New Roman" w:cs="Times New Roman"/>
          <w:sz w:val="24"/>
          <w:szCs w:val="24"/>
          <w:lang w:val="es-ES"/>
        </w:rPr>
        <w:t xml:space="preserve">spaña en la sede de Lorenzo del Escorial de la Universidad Complutense de Madrid. </w:t>
      </w:r>
      <w:r>
        <w:rPr>
          <w:rFonts w:ascii="Times New Roman" w:eastAsia="Times New Roman" w:hAnsi="Times New Roman" w:cs="Times New Roman"/>
          <w:sz w:val="24"/>
          <w:szCs w:val="24"/>
        </w:rPr>
        <w:t>Série antropologia: Brasília, 2003.</w:t>
      </w:r>
    </w:p>
    <w:p w14:paraId="00000084" w14:textId="77777777" w:rsidR="00C3703E" w:rsidRDefault="00077BC5" w:rsidP="009562D1">
      <w:pPr>
        <w:spacing w:after="200" w:line="360" w:lineRule="auto"/>
        <w:jc w:val="both"/>
        <w:rPr>
          <w:rFonts w:ascii="Times New Roman" w:eastAsia="Times New Roman" w:hAnsi="Times New Roman" w:cs="Times New Roman"/>
          <w:sz w:val="24"/>
          <w:szCs w:val="24"/>
        </w:rPr>
        <w:pPrChange w:id="169" w:author="Autor">
          <w:pPr>
            <w:spacing w:after="200" w:line="240" w:lineRule="auto"/>
            <w:jc w:val="both"/>
          </w:pPr>
        </w:pPrChange>
      </w:pPr>
      <w:r>
        <w:rPr>
          <w:rFonts w:ascii="Times New Roman" w:eastAsia="Times New Roman" w:hAnsi="Times New Roman" w:cs="Times New Roman"/>
          <w:sz w:val="24"/>
          <w:szCs w:val="24"/>
        </w:rPr>
        <w:t xml:space="preserve">____________ </w:t>
      </w:r>
      <w:r>
        <w:rPr>
          <w:rFonts w:ascii="Times New Roman" w:eastAsia="Times New Roman" w:hAnsi="Times New Roman" w:cs="Times New Roman"/>
          <w:b/>
          <w:sz w:val="24"/>
          <w:szCs w:val="24"/>
        </w:rPr>
        <w:t>Antropologia e direitos humanos: alteridade e ética no movimento de expansão dos direitos universais</w:t>
      </w:r>
      <w:r>
        <w:rPr>
          <w:rFonts w:ascii="Times New Roman" w:eastAsia="Times New Roman" w:hAnsi="Times New Roman" w:cs="Times New Roman"/>
          <w:sz w:val="24"/>
          <w:szCs w:val="24"/>
        </w:rPr>
        <w:t xml:space="preserve">. Mana vol.12 n.1 Rio de </w:t>
      </w:r>
      <w:r>
        <w:rPr>
          <w:rFonts w:ascii="Times New Roman" w:eastAsia="Times New Roman" w:hAnsi="Times New Roman" w:cs="Times New Roman"/>
          <w:sz w:val="24"/>
          <w:szCs w:val="24"/>
        </w:rPr>
        <w:t>Janeiro Apr. 2006</w:t>
      </w:r>
    </w:p>
    <w:p w14:paraId="00000085" w14:textId="77777777" w:rsidR="00C3703E" w:rsidRDefault="00077BC5" w:rsidP="009562D1">
      <w:pPr>
        <w:spacing w:after="200" w:line="360" w:lineRule="auto"/>
        <w:jc w:val="both"/>
        <w:rPr>
          <w:rFonts w:ascii="Times New Roman" w:eastAsia="Times New Roman" w:hAnsi="Times New Roman" w:cs="Times New Roman"/>
          <w:sz w:val="24"/>
          <w:szCs w:val="24"/>
        </w:rPr>
        <w:pPrChange w:id="170" w:author="Autor">
          <w:pPr>
            <w:spacing w:after="200" w:line="240" w:lineRule="auto"/>
            <w:jc w:val="both"/>
          </w:pPr>
        </w:pPrChange>
      </w:pPr>
      <w:r>
        <w:rPr>
          <w:rFonts w:ascii="Times New Roman" w:eastAsia="Times New Roman" w:hAnsi="Times New Roman" w:cs="Times New Roman"/>
          <w:sz w:val="24"/>
          <w:szCs w:val="24"/>
        </w:rPr>
        <w:t xml:space="preserve">____________ </w:t>
      </w:r>
      <w:r>
        <w:rPr>
          <w:rFonts w:ascii="Times New Roman" w:eastAsia="Times New Roman" w:hAnsi="Times New Roman" w:cs="Times New Roman"/>
          <w:b/>
          <w:sz w:val="24"/>
          <w:szCs w:val="24"/>
        </w:rPr>
        <w:t>Gênero e colonialidade: em busca de chaves de leitura e de um vocabulário estratégico descolonial</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Epistemologias feministas: ao encontro da crítica radical</w:t>
      </w:r>
      <w:r>
        <w:rPr>
          <w:rFonts w:ascii="Times New Roman" w:eastAsia="Times New Roman" w:hAnsi="Times New Roman" w:cs="Times New Roman"/>
          <w:sz w:val="24"/>
          <w:szCs w:val="24"/>
        </w:rPr>
        <w:t xml:space="preserve"> revues.org: e-cadernos ces [online] 18|</w:t>
      </w:r>
      <w:commentRangeStart w:id="171"/>
      <w:r>
        <w:rPr>
          <w:rFonts w:ascii="Times New Roman" w:eastAsia="Times New Roman" w:hAnsi="Times New Roman" w:cs="Times New Roman"/>
          <w:sz w:val="24"/>
          <w:szCs w:val="24"/>
        </w:rPr>
        <w:t>2012</w:t>
      </w:r>
      <w:commentRangeEnd w:id="171"/>
      <w:r w:rsidR="00754519">
        <w:rPr>
          <w:rStyle w:val="Refdecomentrio"/>
        </w:rPr>
        <w:commentReference w:id="171"/>
      </w:r>
      <w:r>
        <w:rPr>
          <w:rFonts w:ascii="Times New Roman" w:eastAsia="Times New Roman" w:hAnsi="Times New Roman" w:cs="Times New Roman"/>
          <w:sz w:val="24"/>
          <w:szCs w:val="24"/>
        </w:rPr>
        <w:t>.</w:t>
      </w:r>
    </w:p>
    <w:p w14:paraId="00000086" w14:textId="77777777" w:rsidR="00C3703E" w:rsidRDefault="00077BC5" w:rsidP="009562D1">
      <w:pPr>
        <w:spacing w:after="200" w:line="360" w:lineRule="auto"/>
        <w:jc w:val="both"/>
        <w:rPr>
          <w:rFonts w:ascii="Times New Roman" w:eastAsia="Times New Roman" w:hAnsi="Times New Roman" w:cs="Times New Roman"/>
          <w:sz w:val="24"/>
          <w:szCs w:val="24"/>
        </w:rPr>
        <w:pPrChange w:id="173" w:author="Autor">
          <w:pPr>
            <w:spacing w:after="200" w:line="240" w:lineRule="auto"/>
            <w:jc w:val="both"/>
          </w:pPr>
        </w:pPrChange>
      </w:pPr>
      <w:r w:rsidRPr="00A06729">
        <w:rPr>
          <w:rFonts w:ascii="Times New Roman" w:eastAsia="Times New Roman" w:hAnsi="Times New Roman" w:cs="Times New Roman"/>
          <w:sz w:val="24"/>
          <w:szCs w:val="24"/>
          <w:lang w:val="es-ES"/>
        </w:rPr>
        <w:t xml:space="preserve">____________ </w:t>
      </w:r>
      <w:r w:rsidRPr="00A06729">
        <w:rPr>
          <w:rFonts w:ascii="Times New Roman" w:eastAsia="Times New Roman" w:hAnsi="Times New Roman" w:cs="Times New Roman"/>
          <w:b/>
          <w:sz w:val="24"/>
          <w:szCs w:val="24"/>
          <w:lang w:val="es-ES"/>
        </w:rPr>
        <w:t>La escritu</w:t>
      </w:r>
      <w:r w:rsidRPr="00A06729">
        <w:rPr>
          <w:rFonts w:ascii="Times New Roman" w:eastAsia="Times New Roman" w:hAnsi="Times New Roman" w:cs="Times New Roman"/>
          <w:b/>
          <w:sz w:val="24"/>
          <w:szCs w:val="24"/>
          <w:lang w:val="es-ES"/>
        </w:rPr>
        <w:t>ra en el cuerpo de las mujeres asesinadas en Ciudad Juárez</w:t>
      </w:r>
      <w:r w:rsidRPr="00A06729">
        <w:rPr>
          <w:rFonts w:ascii="Times New Roman" w:eastAsia="Times New Roman" w:hAnsi="Times New Roman" w:cs="Times New Roman"/>
          <w:sz w:val="24"/>
          <w:szCs w:val="24"/>
          <w:lang w:val="es-ES"/>
        </w:rPr>
        <w:t xml:space="preserve">. </w:t>
      </w:r>
      <w:r>
        <w:rPr>
          <w:rFonts w:ascii="Times New Roman" w:eastAsia="Times New Roman" w:hAnsi="Times New Roman" w:cs="Times New Roman"/>
          <w:sz w:val="24"/>
          <w:szCs w:val="24"/>
        </w:rPr>
        <w:t>1a ed. Buenos Aires: Tinta Limón, 2013.</w:t>
      </w:r>
    </w:p>
    <w:p w14:paraId="00000087" w14:textId="77777777" w:rsidR="00C3703E" w:rsidRPr="00A06729" w:rsidRDefault="00077BC5" w:rsidP="009562D1">
      <w:pPr>
        <w:spacing w:after="200" w:line="360" w:lineRule="auto"/>
        <w:jc w:val="both"/>
        <w:rPr>
          <w:rFonts w:ascii="Times New Roman" w:eastAsia="Times New Roman" w:hAnsi="Times New Roman" w:cs="Times New Roman"/>
          <w:sz w:val="24"/>
          <w:szCs w:val="24"/>
          <w:lang w:val="es-ES"/>
        </w:rPr>
        <w:pPrChange w:id="174" w:author="Autor">
          <w:pPr>
            <w:spacing w:after="200" w:line="240" w:lineRule="auto"/>
            <w:jc w:val="both"/>
          </w:pPr>
        </w:pPrChange>
      </w:pPr>
      <w:r w:rsidRPr="00A06729">
        <w:rPr>
          <w:rFonts w:ascii="Times New Roman" w:eastAsia="Times New Roman" w:hAnsi="Times New Roman" w:cs="Times New Roman"/>
          <w:sz w:val="24"/>
          <w:szCs w:val="24"/>
          <w:lang w:val="es-ES"/>
        </w:rPr>
        <w:t xml:space="preserve">____________ </w:t>
      </w:r>
      <w:r w:rsidRPr="00A06729">
        <w:rPr>
          <w:rFonts w:ascii="Times New Roman" w:eastAsia="Times New Roman" w:hAnsi="Times New Roman" w:cs="Times New Roman"/>
          <w:b/>
          <w:sz w:val="24"/>
          <w:szCs w:val="24"/>
          <w:lang w:val="es-ES"/>
        </w:rPr>
        <w:t>Las nuevas formas de la guerra y el cuerpo de las mujeres</w:t>
      </w:r>
      <w:r w:rsidRPr="00A06729">
        <w:rPr>
          <w:rFonts w:ascii="Times New Roman" w:eastAsia="Times New Roman" w:hAnsi="Times New Roman" w:cs="Times New Roman"/>
          <w:sz w:val="24"/>
          <w:szCs w:val="24"/>
          <w:lang w:val="es-ES"/>
        </w:rPr>
        <w:t>. Puebla: Pez en el árbol, 2014.</w:t>
      </w:r>
    </w:p>
    <w:p w14:paraId="00000088" w14:textId="77777777" w:rsidR="00C3703E" w:rsidRPr="00A06729" w:rsidRDefault="00077BC5" w:rsidP="009562D1">
      <w:pPr>
        <w:spacing w:line="360" w:lineRule="auto"/>
        <w:jc w:val="both"/>
        <w:rPr>
          <w:rFonts w:ascii="Times New Roman" w:eastAsia="Times New Roman" w:hAnsi="Times New Roman" w:cs="Times New Roman"/>
          <w:sz w:val="24"/>
          <w:szCs w:val="24"/>
          <w:lang w:val="es-ES"/>
        </w:rPr>
        <w:pPrChange w:id="175" w:author="Autor">
          <w:pPr>
            <w:spacing w:line="240" w:lineRule="auto"/>
            <w:jc w:val="both"/>
          </w:pPr>
        </w:pPrChange>
      </w:pPr>
      <w:r w:rsidRPr="00A06729">
        <w:rPr>
          <w:rFonts w:ascii="Times New Roman" w:eastAsia="Times New Roman" w:hAnsi="Times New Roman" w:cs="Times New Roman"/>
          <w:sz w:val="24"/>
          <w:szCs w:val="24"/>
          <w:lang w:val="es-ES"/>
        </w:rPr>
        <w:t xml:space="preserve">WALTER, Mignolo. </w:t>
      </w:r>
      <w:r w:rsidRPr="00A06729">
        <w:rPr>
          <w:rFonts w:ascii="Times New Roman" w:eastAsia="Times New Roman" w:hAnsi="Times New Roman" w:cs="Times New Roman"/>
          <w:b/>
          <w:sz w:val="24"/>
          <w:szCs w:val="24"/>
          <w:lang w:val="es-ES"/>
        </w:rPr>
        <w:t>Género y descolonialidad</w:t>
      </w:r>
      <w:r w:rsidRPr="00A06729">
        <w:rPr>
          <w:rFonts w:ascii="Times New Roman" w:eastAsia="Times New Roman" w:hAnsi="Times New Roman" w:cs="Times New Roman"/>
          <w:sz w:val="24"/>
          <w:szCs w:val="24"/>
          <w:lang w:val="es-ES"/>
        </w:rPr>
        <w:t xml:space="preserve">; compilado </w:t>
      </w:r>
      <w:r w:rsidRPr="00A06729">
        <w:rPr>
          <w:rFonts w:ascii="Times New Roman" w:eastAsia="Times New Roman" w:hAnsi="Times New Roman" w:cs="Times New Roman"/>
          <w:sz w:val="24"/>
          <w:szCs w:val="24"/>
          <w:lang w:val="es-ES"/>
        </w:rPr>
        <w:t>por Walter Mignolo. - 2a ed. - Ciudad Autónoma de Buenos Aires : Del Signo, 2014.</w:t>
      </w:r>
    </w:p>
    <w:p w14:paraId="00000089" w14:textId="77777777" w:rsidR="00C3703E" w:rsidRPr="00A06729" w:rsidRDefault="00C3703E" w:rsidP="009562D1">
      <w:pPr>
        <w:spacing w:line="360" w:lineRule="auto"/>
        <w:jc w:val="both"/>
        <w:rPr>
          <w:rFonts w:ascii="Times New Roman" w:eastAsia="Times New Roman" w:hAnsi="Times New Roman" w:cs="Times New Roman"/>
          <w:sz w:val="24"/>
          <w:szCs w:val="24"/>
          <w:lang w:val="es-ES"/>
        </w:rPr>
        <w:pPrChange w:id="176" w:author="Autor">
          <w:pPr>
            <w:spacing w:line="240" w:lineRule="auto"/>
            <w:jc w:val="both"/>
          </w:pPr>
        </w:pPrChange>
      </w:pPr>
    </w:p>
    <w:p w14:paraId="0000008A" w14:textId="77777777" w:rsidR="00C3703E" w:rsidRDefault="00077BC5" w:rsidP="009562D1">
      <w:pPr>
        <w:spacing w:line="360" w:lineRule="auto"/>
        <w:jc w:val="both"/>
        <w:rPr>
          <w:rFonts w:ascii="Times New Roman" w:eastAsia="Times New Roman" w:hAnsi="Times New Roman" w:cs="Times New Roman"/>
          <w:sz w:val="24"/>
          <w:szCs w:val="24"/>
        </w:rPr>
        <w:pPrChange w:id="177" w:author="Autor">
          <w:pPr>
            <w:spacing w:line="240" w:lineRule="auto"/>
            <w:jc w:val="both"/>
          </w:pPr>
        </w:pPrChange>
      </w:pPr>
      <w:r>
        <w:rPr>
          <w:rFonts w:ascii="Times New Roman" w:eastAsia="Times New Roman" w:hAnsi="Times New Roman" w:cs="Times New Roman"/>
          <w:sz w:val="24"/>
          <w:szCs w:val="24"/>
        </w:rPr>
        <w:t xml:space="preserve">SICE OAS. </w:t>
      </w:r>
      <w:r>
        <w:rPr>
          <w:rFonts w:ascii="Times New Roman" w:eastAsia="Times New Roman" w:hAnsi="Times New Roman" w:cs="Times New Roman"/>
          <w:b/>
          <w:sz w:val="24"/>
          <w:szCs w:val="24"/>
        </w:rPr>
        <w:t>Diretrizes da política de igualdade de gênero do MERCOSUL</w:t>
      </w:r>
      <w:r>
        <w:rPr>
          <w:rFonts w:ascii="Times New Roman" w:eastAsia="Times New Roman" w:hAnsi="Times New Roman" w:cs="Times New Roman"/>
          <w:i/>
          <w:sz w:val="24"/>
          <w:szCs w:val="24"/>
        </w:rPr>
        <w:t xml:space="preserve">, </w:t>
      </w:r>
      <w:r>
        <w:rPr>
          <w:rFonts w:ascii="Times New Roman" w:eastAsia="Times New Roman" w:hAnsi="Times New Roman" w:cs="Times New Roman"/>
          <w:sz w:val="24"/>
          <w:szCs w:val="24"/>
        </w:rPr>
        <w:t>MERCOSUL/ CMC/DEC.N° 13/14. 2014. Disponível em &lt;</w:t>
      </w:r>
      <w:r>
        <w:fldChar w:fldCharType="begin"/>
      </w:r>
      <w:r>
        <w:instrText xml:space="preserve"> HYPERLINK "http://www.sice.oas.org/Trade/MRCSRS/Deci</w:instrText>
      </w:r>
      <w:r>
        <w:instrText xml:space="preserve">sions/dec1314_p.pdf" \h </w:instrText>
      </w:r>
      <w:r>
        <w:fldChar w:fldCharType="separate"/>
      </w:r>
      <w:r>
        <w:rPr>
          <w:rFonts w:ascii="Times New Roman" w:eastAsia="Times New Roman" w:hAnsi="Times New Roman" w:cs="Times New Roman"/>
          <w:sz w:val="24"/>
          <w:szCs w:val="24"/>
        </w:rPr>
        <w:t>http://www.sice.oas.org/Trade/MRCSRS/Decisions/dec1314_p.pdf</w:t>
      </w:r>
      <w:r>
        <w:rPr>
          <w:rFonts w:ascii="Times New Roman" w:eastAsia="Times New Roman" w:hAnsi="Times New Roman" w:cs="Times New Roman"/>
          <w:sz w:val="24"/>
          <w:szCs w:val="24"/>
        </w:rPr>
        <w:fldChar w:fldCharType="end"/>
      </w:r>
      <w:r>
        <w:rPr>
          <w:rFonts w:ascii="Times New Roman" w:eastAsia="Times New Roman" w:hAnsi="Times New Roman" w:cs="Times New Roman"/>
          <w:sz w:val="24"/>
          <w:szCs w:val="24"/>
        </w:rPr>
        <w:t xml:space="preserve">&gt; </w:t>
      </w:r>
    </w:p>
    <w:p w14:paraId="0000008B" w14:textId="77777777" w:rsidR="00C3703E" w:rsidRDefault="00C3703E" w:rsidP="009562D1">
      <w:pPr>
        <w:spacing w:line="360" w:lineRule="auto"/>
        <w:jc w:val="both"/>
        <w:rPr>
          <w:rFonts w:ascii="Times New Roman" w:eastAsia="Times New Roman" w:hAnsi="Times New Roman" w:cs="Times New Roman"/>
          <w:sz w:val="24"/>
          <w:szCs w:val="24"/>
        </w:rPr>
        <w:pPrChange w:id="178" w:author="Autor">
          <w:pPr>
            <w:spacing w:line="240" w:lineRule="auto"/>
            <w:jc w:val="both"/>
          </w:pPr>
        </w:pPrChange>
      </w:pPr>
    </w:p>
    <w:p w14:paraId="0000008C" w14:textId="77777777" w:rsidR="00C3703E" w:rsidRDefault="00077BC5" w:rsidP="009562D1">
      <w:pPr>
        <w:spacing w:line="360" w:lineRule="auto"/>
        <w:jc w:val="both"/>
        <w:rPr>
          <w:rFonts w:ascii="Times New Roman" w:eastAsia="Times New Roman" w:hAnsi="Times New Roman" w:cs="Times New Roman"/>
          <w:sz w:val="24"/>
          <w:szCs w:val="24"/>
        </w:rPr>
        <w:pPrChange w:id="179" w:author="Autor">
          <w:pPr>
            <w:spacing w:line="240" w:lineRule="auto"/>
            <w:jc w:val="both"/>
          </w:pPr>
        </w:pPrChange>
      </w:pPr>
      <w:r>
        <w:rPr>
          <w:rFonts w:ascii="Times New Roman" w:eastAsia="Times New Roman" w:hAnsi="Times New Roman" w:cs="Times New Roman"/>
          <w:sz w:val="24"/>
          <w:szCs w:val="24"/>
        </w:rPr>
        <w:t xml:space="preserve">SIMÕES, Júlio Assis; FACCHINI, Regina. </w:t>
      </w:r>
      <w:r>
        <w:rPr>
          <w:rFonts w:ascii="Times New Roman" w:eastAsia="Times New Roman" w:hAnsi="Times New Roman" w:cs="Times New Roman"/>
          <w:b/>
          <w:sz w:val="24"/>
          <w:szCs w:val="24"/>
        </w:rPr>
        <w:t>Do movimento homossexual ao LGBT</w:t>
      </w:r>
      <w:r>
        <w:rPr>
          <w:rFonts w:ascii="Times New Roman" w:eastAsia="Times New Roman" w:hAnsi="Times New Roman" w:cs="Times New Roman"/>
          <w:sz w:val="24"/>
          <w:szCs w:val="24"/>
        </w:rPr>
        <w:t>. São Paulo: Fundação Perseu Abramo, 2009.</w:t>
      </w:r>
    </w:p>
    <w:sectPr w:rsidR="00C3703E">
      <w:headerReference w:type="even" r:id="rId9"/>
      <w:headerReference w:type="default" r:id="rId10"/>
      <w:footerReference w:type="even" r:id="rId11"/>
      <w:footerReference w:type="default" r:id="rId12"/>
      <w:headerReference w:type="first" r:id="rId13"/>
      <w:footerReference w:type="first" r:id="rId14"/>
      <w:pgSz w:w="11906" w:h="16838"/>
      <w:pgMar w:top="1700" w:right="1133" w:bottom="1133" w:left="1700" w:header="720" w:footer="720" w:gutter="0"/>
      <w:pgNumType w:start="1"/>
      <w:cols w:space="72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5" w:author="Autor" w:initials="A">
    <w:p w14:paraId="08618099" w14:textId="32C63F52" w:rsidR="00265ECA" w:rsidRDefault="00265ECA">
      <w:pPr>
        <w:pStyle w:val="Textodecomentrio"/>
      </w:pPr>
      <w:r>
        <w:rPr>
          <w:rStyle w:val="Refdecomentrio"/>
        </w:rPr>
        <w:annotationRef/>
      </w:r>
      <w:r>
        <w:rPr>
          <w:rStyle w:val="Refdecomentrio"/>
        </w:rPr>
        <w:t>Aponta Direitos Humanos e sua importância par integração regional e não aparece no descritor.</w:t>
      </w:r>
    </w:p>
  </w:comment>
  <w:comment w:id="6" w:author="Autor" w:initials="A">
    <w:p w14:paraId="70B71B98" w14:textId="3BAA7886" w:rsidR="00265ECA" w:rsidRDefault="00265ECA">
      <w:pPr>
        <w:pStyle w:val="Textodecomentrio"/>
      </w:pPr>
      <w:r>
        <w:rPr>
          <w:rStyle w:val="Refdecomentrio"/>
        </w:rPr>
        <w:annotationRef/>
      </w:r>
    </w:p>
  </w:comment>
  <w:comment w:id="8" w:author="Autor" w:initials="A">
    <w:p w14:paraId="6F65383F" w14:textId="71A730C3" w:rsidR="00265ECA" w:rsidRDefault="00265ECA">
      <w:pPr>
        <w:pStyle w:val="Textodecomentrio"/>
      </w:pPr>
      <w:r>
        <w:rPr>
          <w:rStyle w:val="Refdecomentrio"/>
        </w:rPr>
        <w:annotationRef/>
      </w:r>
      <w:r>
        <w:t>Falta uma problematização da questão abordada, e explicitar as razões do uso da autora Rita Segato.</w:t>
      </w:r>
    </w:p>
  </w:comment>
  <w:comment w:id="10" w:author="Autor" w:initials="A">
    <w:p w14:paraId="448949AE" w14:textId="1FFCFF09" w:rsidR="0024410D" w:rsidRDefault="0024410D">
      <w:pPr>
        <w:pStyle w:val="Textodecomentrio"/>
      </w:pPr>
      <w:r>
        <w:rPr>
          <w:rStyle w:val="Refdecomentrio"/>
        </w:rPr>
        <w:annotationRef/>
      </w:r>
      <w:r>
        <w:t>Informação a ser colocada em nota de rodapé.</w:t>
      </w:r>
    </w:p>
  </w:comment>
  <w:comment w:id="12" w:author="Autor" w:initials="A">
    <w:p w14:paraId="47D0C639" w14:textId="278F3347" w:rsidR="0024410D" w:rsidRDefault="0024410D">
      <w:pPr>
        <w:pStyle w:val="Textodecomentrio"/>
      </w:pPr>
      <w:r>
        <w:rPr>
          <w:rStyle w:val="Refdecomentrio"/>
        </w:rPr>
        <w:annotationRef/>
      </w:r>
      <w:r>
        <w:t>Não articula com o propósito do texto. Não interlocução entre gênero e direitos humanos.</w:t>
      </w:r>
      <w:r w:rsidR="00265ECA">
        <w:t xml:space="preserve"> Papel do Sistema Interamericano de Direitos Humanos como posicionamento crítico e promotor da integração latino-americana.</w:t>
      </w:r>
    </w:p>
  </w:comment>
  <w:comment w:id="16" w:author="Autor" w:initials="A">
    <w:p w14:paraId="3BAEFABE" w14:textId="726387FF" w:rsidR="00265ECA" w:rsidRDefault="00265ECA">
      <w:pPr>
        <w:pStyle w:val="Textodecomentrio"/>
      </w:pPr>
      <w:r>
        <w:rPr>
          <w:rStyle w:val="Refdecomentrio"/>
        </w:rPr>
        <w:annotationRef/>
      </w:r>
      <w:r>
        <w:t>Não justifica o uso da autora.</w:t>
      </w:r>
    </w:p>
  </w:comment>
  <w:comment w:id="22" w:author="Autor" w:initials="A">
    <w:p w14:paraId="377069AD" w14:textId="4B67F45B" w:rsidR="00265ECA" w:rsidRDefault="00265ECA">
      <w:pPr>
        <w:pStyle w:val="Textodecomentrio"/>
      </w:pPr>
      <w:r>
        <w:rPr>
          <w:rStyle w:val="Refdecomentrio"/>
        </w:rPr>
        <w:annotationRef/>
      </w:r>
      <w:r>
        <w:t>Repete o que diz a citação</w:t>
      </w:r>
    </w:p>
  </w:comment>
  <w:comment w:id="28" w:author="Autor" w:initials="A">
    <w:p w14:paraId="551AAAAD" w14:textId="3B9AAFFF" w:rsidR="00265ECA" w:rsidRDefault="00265ECA">
      <w:pPr>
        <w:pStyle w:val="Textodecomentrio"/>
      </w:pPr>
      <w:r>
        <w:rPr>
          <w:rStyle w:val="Refdecomentrio"/>
        </w:rPr>
        <w:annotationRef/>
      </w:r>
      <w:r>
        <w:t>Redação, concordância verbal -rever</w:t>
      </w:r>
    </w:p>
  </w:comment>
  <w:comment w:id="31" w:author="Autor" w:initials="A">
    <w:p w14:paraId="4311FBFB" w14:textId="44D56BEF" w:rsidR="00265ECA" w:rsidRDefault="00265ECA">
      <w:pPr>
        <w:pStyle w:val="Textodecomentrio"/>
      </w:pPr>
      <w:r>
        <w:rPr>
          <w:rStyle w:val="Refdecomentrio"/>
        </w:rPr>
        <w:annotationRef/>
      </w:r>
      <w:r>
        <w:t>Redação novamente. Concordância de número</w:t>
      </w:r>
    </w:p>
  </w:comment>
  <w:comment w:id="33" w:author="Autor" w:initials="A">
    <w:p w14:paraId="59667556" w14:textId="3F326FA2" w:rsidR="00CC4C2B" w:rsidRDefault="00CC4C2B">
      <w:pPr>
        <w:pStyle w:val="Textodecomentrio"/>
      </w:pPr>
      <w:r>
        <w:rPr>
          <w:rStyle w:val="Refdecomentrio"/>
        </w:rPr>
        <w:annotationRef/>
      </w:r>
      <w:r>
        <w:t>Rever redação. Falta pontuação adequada.</w:t>
      </w:r>
    </w:p>
  </w:comment>
  <w:comment w:id="34" w:author="Autor" w:initials="A">
    <w:p w14:paraId="0CF15F63" w14:textId="1166B8E8" w:rsidR="00CC4C2B" w:rsidRDefault="00CC4C2B">
      <w:pPr>
        <w:pStyle w:val="Textodecomentrio"/>
      </w:pPr>
      <w:r>
        <w:rPr>
          <w:rStyle w:val="Refdecomentrio"/>
        </w:rPr>
        <w:annotationRef/>
      </w:r>
      <w:r>
        <w:t>Não esclarece este termo. Relação com a violência</w:t>
      </w:r>
    </w:p>
  </w:comment>
  <w:comment w:id="36" w:author="Autor" w:initials="A">
    <w:p w14:paraId="0D655524" w14:textId="0B4138B9" w:rsidR="00CC4C2B" w:rsidRDefault="00CC4C2B">
      <w:pPr>
        <w:pStyle w:val="Textodecomentrio"/>
      </w:pPr>
      <w:r>
        <w:rPr>
          <w:rStyle w:val="Refdecomentrio"/>
        </w:rPr>
        <w:annotationRef/>
      </w:r>
      <w:r>
        <w:t>Que significa este mal original? Relativo a antiguidade? Sentido bíblico?</w:t>
      </w:r>
    </w:p>
  </w:comment>
  <w:comment w:id="37" w:author="Autor" w:initials="A">
    <w:p w14:paraId="7964BAAB" w14:textId="28B39B9B" w:rsidR="00CC4C2B" w:rsidRDefault="00CC4C2B">
      <w:pPr>
        <w:pStyle w:val="Textodecomentrio"/>
      </w:pPr>
      <w:r>
        <w:rPr>
          <w:rStyle w:val="Refdecomentrio"/>
        </w:rPr>
        <w:annotationRef/>
      </w:r>
      <w:r>
        <w:t>Idem</w:t>
      </w:r>
    </w:p>
  </w:comment>
  <w:comment w:id="39" w:author="Autor" w:initials="A">
    <w:p w14:paraId="2CD05321" w14:textId="11AEDECF" w:rsidR="00CC4C2B" w:rsidRDefault="00CC4C2B">
      <w:pPr>
        <w:pStyle w:val="Textodecomentrio"/>
      </w:pPr>
      <w:r>
        <w:rPr>
          <w:rStyle w:val="Refdecomentrio"/>
        </w:rPr>
        <w:annotationRef/>
      </w:r>
      <w:r>
        <w:t>Parece haver uma contradição entre o afirmado anteriormente sobre relatos históricos que confirmam a existência de um patriarcado de baixa intensidade nas sociedades tribais.  E agora aponta para a modernidade – resguardo do privado???</w:t>
      </w:r>
    </w:p>
  </w:comment>
  <w:comment w:id="41" w:author="Autor" w:initials="A">
    <w:p w14:paraId="4CAD43A5" w14:textId="7F72EB41" w:rsidR="00CC4C2B" w:rsidRDefault="00CC4C2B">
      <w:pPr>
        <w:pStyle w:val="Textodecomentrio"/>
      </w:pPr>
      <w:r>
        <w:rPr>
          <w:rStyle w:val="Refdecomentrio"/>
        </w:rPr>
        <w:annotationRef/>
      </w:r>
      <w:r>
        <w:t>Redação</w:t>
      </w:r>
    </w:p>
  </w:comment>
  <w:comment w:id="45" w:author="Autor" w:initials="A">
    <w:p w14:paraId="1827698C" w14:textId="48904ACA" w:rsidR="00BC2336" w:rsidRDefault="00BC2336">
      <w:pPr>
        <w:pStyle w:val="Textodecomentrio"/>
      </w:pPr>
      <w:r>
        <w:rPr>
          <w:rStyle w:val="Refdecomentrio"/>
        </w:rPr>
        <w:annotationRef/>
      </w:r>
      <w:r>
        <w:t>Rever redação e esclarecer relação entre o conteúdo e o trabalho do etnógrafo, visto que não é um tema em discussão no texto.</w:t>
      </w:r>
    </w:p>
  </w:comment>
  <w:comment w:id="47" w:author="Autor" w:initials="A">
    <w:p w14:paraId="1954F12F" w14:textId="63D8D3B2" w:rsidR="00BC2336" w:rsidRDefault="00BC2336">
      <w:pPr>
        <w:pStyle w:val="Textodecomentrio"/>
      </w:pPr>
      <w:r>
        <w:rPr>
          <w:rStyle w:val="Refdecomentrio"/>
        </w:rPr>
        <w:annotationRef/>
      </w:r>
      <w:r>
        <w:t>Não basta relacionar os temas, mas explicitar como se relacionam com o objeto em análise.</w:t>
      </w:r>
    </w:p>
  </w:comment>
  <w:comment w:id="51" w:author="Autor" w:initials="A">
    <w:p w14:paraId="63CBF275" w14:textId="1FE72931" w:rsidR="00513177" w:rsidRDefault="00513177">
      <w:pPr>
        <w:pStyle w:val="Textodecomentrio"/>
      </w:pPr>
      <w:r>
        <w:rPr>
          <w:rStyle w:val="Refdecomentrio"/>
        </w:rPr>
        <w:annotationRef/>
      </w:r>
      <w:r>
        <w:t>Rever grafia em espanhol de algumas palavras.</w:t>
      </w:r>
    </w:p>
  </w:comment>
  <w:comment w:id="62" w:author="Autor" w:initials="A">
    <w:p w14:paraId="3BE49601" w14:textId="2F21EDEA" w:rsidR="00513177" w:rsidRDefault="00513177">
      <w:pPr>
        <w:pStyle w:val="Textodecomentrio"/>
      </w:pPr>
      <w:r>
        <w:rPr>
          <w:rStyle w:val="Refdecomentrio"/>
        </w:rPr>
        <w:annotationRef/>
      </w:r>
      <w:r>
        <w:t>Não foram apenas redes de diálogos, etc...mas uma nova institucionalidade com todos os elementos que confluem para um outro patamar além dos estados nacionais – regulação jurídica, política e práticas societárias</w:t>
      </w:r>
    </w:p>
  </w:comment>
  <w:comment w:id="65" w:author="Autor" w:initials="A">
    <w:p w14:paraId="563F64CD" w14:textId="30967D84" w:rsidR="00916184" w:rsidRDefault="00916184">
      <w:pPr>
        <w:pStyle w:val="Textodecomentrio"/>
      </w:pPr>
      <w:r>
        <w:rPr>
          <w:rStyle w:val="Refdecomentrio"/>
        </w:rPr>
        <w:annotationRef/>
      </w:r>
      <w:r>
        <w:t>Penso que não dá para caracterizar o Tratado de Assunção como um modelo de integração profunda.  Tal seria esquecer todos os demais aspectos da integração e privilegiar unicamente o mercado como organizador das relações sociais.</w:t>
      </w:r>
    </w:p>
  </w:comment>
  <w:comment w:id="67" w:author="Autor" w:initials="A">
    <w:p w14:paraId="1859EB2D" w14:textId="38B3B082" w:rsidR="00916184" w:rsidRDefault="00916184">
      <w:pPr>
        <w:pStyle w:val="Textodecomentrio"/>
      </w:pPr>
      <w:r>
        <w:rPr>
          <w:rStyle w:val="Refdecomentrio"/>
        </w:rPr>
        <w:annotationRef/>
      </w:r>
      <w:r>
        <w:t>Não há no Tratado de Assunção esta integração profunda, unicamente a econômica.</w:t>
      </w:r>
    </w:p>
  </w:comment>
  <w:comment w:id="69" w:author="Autor" w:initials="A">
    <w:p w14:paraId="608737CD" w14:textId="1C071D94" w:rsidR="00916184" w:rsidRDefault="00916184">
      <w:pPr>
        <w:pStyle w:val="Textodecomentrio"/>
      </w:pPr>
      <w:r>
        <w:rPr>
          <w:rStyle w:val="Refdecomentrio"/>
        </w:rPr>
        <w:annotationRef/>
      </w:r>
      <w:r>
        <w:t>Realmente mas muito mais tarde</w:t>
      </w:r>
    </w:p>
  </w:comment>
  <w:comment w:id="71" w:author="Autor" w:initials="A">
    <w:p w14:paraId="5806690B" w14:textId="178AAA9B" w:rsidR="00916184" w:rsidRDefault="00916184">
      <w:pPr>
        <w:pStyle w:val="Textodecomentrio"/>
      </w:pPr>
      <w:r>
        <w:rPr>
          <w:rStyle w:val="Refdecomentrio"/>
        </w:rPr>
        <w:annotationRef/>
      </w:r>
      <w:r>
        <w:t>Se a autora aponta que havia uma integração profunda ao pensar unicamente em aspectos econômicos, qual seria o novo concito de integração?</w:t>
      </w:r>
    </w:p>
  </w:comment>
  <w:comment w:id="72" w:author="Autor" w:initials="A">
    <w:p w14:paraId="3DBFCAD5" w14:textId="79DFB8B2" w:rsidR="00916184" w:rsidRDefault="00916184">
      <w:pPr>
        <w:pStyle w:val="Textodecomentrio"/>
      </w:pPr>
      <w:r>
        <w:rPr>
          <w:rStyle w:val="Refdecomentrio"/>
        </w:rPr>
        <w:annotationRef/>
      </w:r>
      <w:r>
        <w:t>A temática de direitos humanos sempre foi circunscrito aos estados.  Evidentemente ao se tornarem partes esta competência já estava dada</w:t>
      </w:r>
    </w:p>
  </w:comment>
  <w:comment w:id="88" w:author="Autor" w:initials="A">
    <w:p w14:paraId="2B84B61F" w14:textId="18C7DBCA" w:rsidR="00916184" w:rsidRDefault="00916184">
      <w:pPr>
        <w:pStyle w:val="Textodecomentrio"/>
      </w:pPr>
      <w:r>
        <w:rPr>
          <w:rStyle w:val="Refdecomentrio"/>
        </w:rPr>
        <w:annotationRef/>
      </w:r>
      <w:r>
        <w:t>Qual delas?  É preciso explicitar.</w:t>
      </w:r>
    </w:p>
  </w:comment>
  <w:comment w:id="97" w:author="Autor" w:initials="A">
    <w:p w14:paraId="464796B2" w14:textId="751798CC" w:rsidR="00916184" w:rsidRPr="00916184" w:rsidRDefault="00916184">
      <w:pPr>
        <w:pStyle w:val="Textodecomentrio"/>
        <w:rPr>
          <w:rFonts w:asciiTheme="majorHAnsi" w:hAnsiTheme="majorHAnsi"/>
        </w:rPr>
      </w:pPr>
      <w:r>
        <w:rPr>
          <w:rStyle w:val="Refdecomentrio"/>
        </w:rPr>
        <w:annotationRef/>
      </w:r>
      <w:r w:rsidRPr="00916184">
        <w:rPr>
          <w:rFonts w:asciiTheme="majorHAnsi" w:hAnsiTheme="majorHAnsi"/>
        </w:rPr>
        <w:t>Afirmação me parece tautológica pois justamente é o que faz o</w:t>
      </w:r>
      <w:r w:rsidRPr="00916184">
        <w:rPr>
          <w:rFonts w:asciiTheme="majorHAnsi" w:eastAsia="Times New Roman" w:hAnsiTheme="majorHAnsi" w:cs="Times New Roman"/>
          <w:sz w:val="24"/>
          <w:szCs w:val="24"/>
        </w:rPr>
        <w:t xml:space="preserve"> </w:t>
      </w:r>
      <w:r w:rsidRPr="00916184">
        <w:rPr>
          <w:rFonts w:asciiTheme="majorHAnsi" w:eastAsia="Times New Roman" w:hAnsiTheme="majorHAnsi" w:cs="Times New Roman"/>
          <w:sz w:val="24"/>
          <w:szCs w:val="24"/>
        </w:rPr>
        <w:t>o Instituto de Políticas Públicas em Direitos Humanos</w:t>
      </w:r>
    </w:p>
  </w:comment>
  <w:comment w:id="107" w:author="Autor" w:initials="A">
    <w:p w14:paraId="39F1C115" w14:textId="2F2FF037" w:rsidR="000F71D5" w:rsidRDefault="000F71D5">
      <w:pPr>
        <w:pStyle w:val="Textodecomentrio"/>
      </w:pPr>
      <w:r>
        <w:rPr>
          <w:rStyle w:val="Refdecomentrio"/>
        </w:rPr>
        <w:annotationRef/>
      </w:r>
      <w:r>
        <w:t>Prescritivo demais, além do que as políticas do bloco incorporam este debate</w:t>
      </w:r>
    </w:p>
  </w:comment>
  <w:comment w:id="117" w:author="Autor" w:initials="A">
    <w:p w14:paraId="5D1F492B" w14:textId="7D5DA8A6" w:rsidR="000F71D5" w:rsidRDefault="000F71D5">
      <w:pPr>
        <w:pStyle w:val="Textodecomentrio"/>
      </w:pPr>
      <w:r>
        <w:rPr>
          <w:rStyle w:val="Refdecomentrio"/>
        </w:rPr>
        <w:annotationRef/>
      </w:r>
      <w:r>
        <w:t xml:space="preserve">Redação. </w:t>
      </w:r>
    </w:p>
  </w:comment>
  <w:comment w:id="120" w:author="Autor" w:initials="A">
    <w:p w14:paraId="7AD5A626" w14:textId="2A2B0F28" w:rsidR="000F71D5" w:rsidRDefault="000F71D5">
      <w:pPr>
        <w:pStyle w:val="Textodecomentrio"/>
      </w:pPr>
      <w:r>
        <w:rPr>
          <w:rStyle w:val="Refdecomentrio"/>
        </w:rPr>
        <w:annotationRef/>
      </w:r>
      <w:r>
        <w:t>Não fala em questão de gênero, mas sim em pobreza.</w:t>
      </w:r>
    </w:p>
  </w:comment>
  <w:comment w:id="122" w:author="Autor" w:initials="A">
    <w:p w14:paraId="5F779285" w14:textId="6D296545" w:rsidR="000F71D5" w:rsidRDefault="000F71D5">
      <w:pPr>
        <w:pStyle w:val="Textodecomentrio"/>
      </w:pPr>
      <w:r>
        <w:rPr>
          <w:rStyle w:val="Refdecomentrio"/>
        </w:rPr>
        <w:annotationRef/>
      </w:r>
      <w:r>
        <w:t>Prescritivo</w:t>
      </w:r>
    </w:p>
  </w:comment>
  <w:comment w:id="130" w:author="Autor" w:initials="A">
    <w:p w14:paraId="681EF6CF" w14:textId="3841BE2F" w:rsidR="000F71D5" w:rsidRDefault="000F71D5">
      <w:pPr>
        <w:pStyle w:val="Textodecomentrio"/>
      </w:pPr>
      <w:r>
        <w:rPr>
          <w:rStyle w:val="Refdecomentrio"/>
        </w:rPr>
        <w:annotationRef/>
      </w:r>
      <w:r>
        <w:t>No início do texto a autora indicava conter o Tratado de Assunção uma integração profunda.  Neste parágrafo adota outra concepção de integração profunda, focalizada em gênero e sexualidade.</w:t>
      </w:r>
    </w:p>
  </w:comment>
  <w:comment w:id="135" w:author="Autor" w:initials="A">
    <w:p w14:paraId="4D29D46F" w14:textId="7AD4DB09" w:rsidR="000F71D5" w:rsidRDefault="000F71D5">
      <w:pPr>
        <w:pStyle w:val="Textodecomentrio"/>
      </w:pPr>
      <w:r>
        <w:rPr>
          <w:rStyle w:val="Refdecomentrio"/>
        </w:rPr>
        <w:annotationRef/>
      </w:r>
      <w:r>
        <w:t>Não apresenta casos específicos no texto.</w:t>
      </w:r>
    </w:p>
  </w:comment>
  <w:comment w:id="136" w:author="Autor" w:initials="A">
    <w:p w14:paraId="52E3DFB4" w14:textId="03A47B3B" w:rsidR="000F71D5" w:rsidRDefault="000F71D5">
      <w:pPr>
        <w:pStyle w:val="Textodecomentrio"/>
      </w:pPr>
      <w:r>
        <w:rPr>
          <w:rStyle w:val="Refdecomentrio"/>
        </w:rPr>
        <w:annotationRef/>
      </w:r>
      <w:r>
        <w:t xml:space="preserve">Bastante doutrinária e não baseada em evidências teóricas ou empíricas. </w:t>
      </w:r>
    </w:p>
  </w:comment>
  <w:comment w:id="171" w:author="Autor" w:initials="A">
    <w:p w14:paraId="1DB5A046" w14:textId="4987463F" w:rsidR="00754519" w:rsidRDefault="00754519">
      <w:pPr>
        <w:pStyle w:val="Textodecomentrio"/>
      </w:pPr>
      <w:r>
        <w:rPr>
          <w:rStyle w:val="Refdecomentrio"/>
        </w:rPr>
        <w:annotationRef/>
      </w:r>
      <w:r>
        <w:t>Citação incompleta</w:t>
      </w:r>
      <w:bookmarkStart w:id="172" w:name="_GoBack"/>
      <w:bookmarkEnd w:id="172"/>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8618099" w15:done="0"/>
  <w15:commentEx w15:paraId="70B71B98" w15:paraIdParent="08618099" w15:done="0"/>
  <w15:commentEx w15:paraId="6F65383F" w15:done="0"/>
  <w15:commentEx w15:paraId="448949AE" w15:done="0"/>
  <w15:commentEx w15:paraId="47D0C639" w15:done="0"/>
  <w15:commentEx w15:paraId="3BAEFABE" w15:done="0"/>
  <w15:commentEx w15:paraId="377069AD" w15:done="0"/>
  <w15:commentEx w15:paraId="551AAAAD" w15:done="0"/>
  <w15:commentEx w15:paraId="4311FBFB" w15:done="0"/>
  <w15:commentEx w15:paraId="59667556" w15:done="0"/>
  <w15:commentEx w15:paraId="0CF15F63" w15:done="0"/>
  <w15:commentEx w15:paraId="0D655524" w15:done="0"/>
  <w15:commentEx w15:paraId="7964BAAB" w15:done="0"/>
  <w15:commentEx w15:paraId="2CD05321" w15:done="0"/>
  <w15:commentEx w15:paraId="4CAD43A5" w15:done="0"/>
  <w15:commentEx w15:paraId="1827698C" w15:done="0"/>
  <w15:commentEx w15:paraId="1954F12F" w15:done="0"/>
  <w15:commentEx w15:paraId="63CBF275" w15:done="0"/>
  <w15:commentEx w15:paraId="3BE49601" w15:done="0"/>
  <w15:commentEx w15:paraId="563F64CD" w15:done="0"/>
  <w15:commentEx w15:paraId="1859EB2D" w15:done="0"/>
  <w15:commentEx w15:paraId="608737CD" w15:done="0"/>
  <w15:commentEx w15:paraId="5806690B" w15:done="0"/>
  <w15:commentEx w15:paraId="3DBFCAD5" w15:done="0"/>
  <w15:commentEx w15:paraId="2B84B61F" w15:done="0"/>
  <w15:commentEx w15:paraId="464796B2" w15:done="0"/>
  <w15:commentEx w15:paraId="39F1C115" w15:done="0"/>
  <w15:commentEx w15:paraId="5D1F492B" w15:done="0"/>
  <w15:commentEx w15:paraId="7AD5A626" w15:done="0"/>
  <w15:commentEx w15:paraId="5F779285" w15:done="0"/>
  <w15:commentEx w15:paraId="681EF6CF" w15:done="0"/>
  <w15:commentEx w15:paraId="4D29D46F" w15:done="0"/>
  <w15:commentEx w15:paraId="52E3DFB4" w15:done="0"/>
  <w15:commentEx w15:paraId="1DB5A046"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D1D0C8" w14:textId="77777777" w:rsidR="00077BC5" w:rsidRDefault="00077BC5">
      <w:pPr>
        <w:spacing w:line="240" w:lineRule="auto"/>
      </w:pPr>
      <w:r>
        <w:separator/>
      </w:r>
    </w:p>
  </w:endnote>
  <w:endnote w:type="continuationSeparator" w:id="0">
    <w:p w14:paraId="03380A0F" w14:textId="77777777" w:rsidR="00077BC5" w:rsidRDefault="00077BC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99BC1A" w14:textId="77777777" w:rsidR="00C255F3" w:rsidRDefault="00C255F3">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00091" w14:textId="77777777" w:rsidR="00C3703E" w:rsidRDefault="00077BC5">
    <w:pPr>
      <w:jc w:val="right"/>
    </w:pPr>
    <w:r>
      <w:rPr>
        <w:rFonts w:ascii="Times New Roman" w:eastAsia="Times New Roman" w:hAnsi="Times New Roman" w:cs="Times New Roman"/>
        <w:sz w:val="24"/>
        <w:szCs w:val="24"/>
      </w:rPr>
      <w:fldChar w:fldCharType="begin"/>
    </w:r>
    <w:r>
      <w:rPr>
        <w:rFonts w:ascii="Times New Roman" w:eastAsia="Times New Roman" w:hAnsi="Times New Roman" w:cs="Times New Roman"/>
        <w:sz w:val="24"/>
        <w:szCs w:val="24"/>
      </w:rPr>
      <w:instrText>PAGE</w:instrText>
    </w:r>
    <w:r w:rsidR="00A06729">
      <w:rPr>
        <w:rFonts w:ascii="Times New Roman" w:eastAsia="Times New Roman" w:hAnsi="Times New Roman" w:cs="Times New Roman"/>
        <w:sz w:val="24"/>
        <w:szCs w:val="24"/>
      </w:rPr>
      <w:fldChar w:fldCharType="separate"/>
    </w:r>
    <w:r>
      <w:rPr>
        <w:rFonts w:ascii="Times New Roman" w:eastAsia="Times New Roman" w:hAnsi="Times New Roman" w:cs="Times New Roman"/>
        <w:noProof/>
        <w:sz w:val="24"/>
        <w:szCs w:val="24"/>
      </w:rPr>
      <w:t>1</w:t>
    </w:r>
    <w:r>
      <w:rPr>
        <w:rFonts w:ascii="Times New Roman" w:eastAsia="Times New Roman" w:hAnsi="Times New Roman" w:cs="Times New Roman"/>
        <w:sz w:val="24"/>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41ECD2" w14:textId="77777777" w:rsidR="00C255F3" w:rsidRDefault="00C255F3">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F42095" w14:textId="77777777" w:rsidR="00077BC5" w:rsidRDefault="00077BC5">
      <w:pPr>
        <w:spacing w:line="240" w:lineRule="auto"/>
      </w:pPr>
      <w:r>
        <w:separator/>
      </w:r>
    </w:p>
  </w:footnote>
  <w:footnote w:type="continuationSeparator" w:id="0">
    <w:p w14:paraId="504293CE" w14:textId="77777777" w:rsidR="00077BC5" w:rsidRDefault="00077BC5">
      <w:pPr>
        <w:spacing w:line="240" w:lineRule="auto"/>
      </w:pPr>
      <w:r>
        <w:continuationSeparator/>
      </w:r>
    </w:p>
  </w:footnote>
  <w:footnote w:id="1">
    <w:p w14:paraId="00000092" w14:textId="77777777" w:rsidR="00C3703E" w:rsidRDefault="00077BC5">
      <w:pPr>
        <w:spacing w:line="240" w:lineRule="auto"/>
        <w:jc w:val="both"/>
        <w:rPr>
          <w:rFonts w:ascii="Times New Roman" w:eastAsia="Times New Roman" w:hAnsi="Times New Roman" w:cs="Times New Roman"/>
          <w:sz w:val="20"/>
          <w:szCs w:val="20"/>
        </w:rPr>
      </w:pPr>
      <w:r>
        <w:rPr>
          <w:vertAlign w:val="superscript"/>
        </w:rPr>
        <w:footnoteRef/>
      </w:r>
      <w:r>
        <w:rPr>
          <w:rFonts w:ascii="Times New Roman" w:eastAsia="Times New Roman" w:hAnsi="Times New Roman" w:cs="Times New Roman"/>
          <w:sz w:val="20"/>
          <w:szCs w:val="20"/>
        </w:rPr>
        <w:t xml:space="preserve"> É importante destacar aqui o marco teórico que levou a escolha da terminologia sexualidade/gênero. Entende-se primeiramente que</w:t>
      </w:r>
      <w:r>
        <w:rPr>
          <w:rFonts w:ascii="Times New Roman" w:eastAsia="Times New Roman" w:hAnsi="Times New Roman" w:cs="Times New Roman"/>
          <w:sz w:val="20"/>
          <w:szCs w:val="20"/>
        </w:rPr>
        <w:t xml:space="preserve"> “</w:t>
      </w:r>
      <w:r>
        <w:rPr>
          <w:rFonts w:ascii="Times New Roman" w:eastAsia="Times New Roman" w:hAnsi="Times New Roman" w:cs="Times New Roman"/>
          <w:i/>
          <w:sz w:val="20"/>
          <w:szCs w:val="20"/>
        </w:rPr>
        <w:t>O termo gênero vem sendo empregado progressivamente em substituição ao termo sexo para destacar os aspectos culturais, psicológicos, ideológicos e socialmente construídos e, assim, diferenciá-los dos componentes meramente biológicos. O gênero é um agrupa</w:t>
      </w:r>
      <w:r>
        <w:rPr>
          <w:rFonts w:ascii="Times New Roman" w:eastAsia="Times New Roman" w:hAnsi="Times New Roman" w:cs="Times New Roman"/>
          <w:i/>
          <w:sz w:val="20"/>
          <w:szCs w:val="20"/>
        </w:rPr>
        <w:t>mento social ou um aspecto da identidade social (...). O termo sexo aparece em estudos iniciais (...), mas, a partir dos anos 1980, tem se preferido gênero, o que reflete uma distinção comum feita nas ciências sociais entre ‘sexo’ como atributo biológico e</w:t>
      </w:r>
      <w:r>
        <w:rPr>
          <w:rFonts w:ascii="Times New Roman" w:eastAsia="Times New Roman" w:hAnsi="Times New Roman" w:cs="Times New Roman"/>
          <w:i/>
          <w:sz w:val="20"/>
          <w:szCs w:val="20"/>
        </w:rPr>
        <w:t xml:space="preserve"> ‘gênero’ como atributo sociológico. O sexo/gênero aparece em diversos estudos variacionistas como uma variável social na análise da variação e da mudança</w:t>
      </w:r>
      <w:r>
        <w:rPr>
          <w:rFonts w:ascii="Times New Roman" w:eastAsia="Times New Roman" w:hAnsi="Times New Roman" w:cs="Times New Roman"/>
          <w:sz w:val="20"/>
          <w:szCs w:val="20"/>
        </w:rPr>
        <w:t>” (BAGNO,2017, p. 151). O presente trabalho se vincula ao debate proposto por Judith Butler em sua obr</w:t>
      </w:r>
      <w:r>
        <w:rPr>
          <w:rFonts w:ascii="Times New Roman" w:eastAsia="Times New Roman" w:hAnsi="Times New Roman" w:cs="Times New Roman"/>
          <w:sz w:val="20"/>
          <w:szCs w:val="20"/>
        </w:rPr>
        <w:t>a ‘problemas de gênero’, e assim compreende que “</w:t>
      </w:r>
      <w:r>
        <w:rPr>
          <w:rFonts w:ascii="Times New Roman" w:eastAsia="Times New Roman" w:hAnsi="Times New Roman" w:cs="Times New Roman"/>
          <w:i/>
          <w:sz w:val="20"/>
          <w:szCs w:val="20"/>
        </w:rPr>
        <w:t>Gênero aqui não deve mais ser compreendido somente como espaço de constructo social, inscrição cultural de significado sobre um corpo naturalmente sexuado, são as relações de poder que produzem o efeito de u</w:t>
      </w:r>
      <w:r>
        <w:rPr>
          <w:rFonts w:ascii="Times New Roman" w:eastAsia="Times New Roman" w:hAnsi="Times New Roman" w:cs="Times New Roman"/>
          <w:i/>
          <w:sz w:val="20"/>
          <w:szCs w:val="20"/>
        </w:rPr>
        <w:t>m sujeito, e deste indivíduo com um sexo supostamente pré-discursivo quando ao mesmo tempo ocultam a própria operação de produção discursiva. Gênero designa assim o aparato de produção mediante o qual os próprios sexos são estabelecidos</w:t>
      </w:r>
      <w:r>
        <w:rPr>
          <w:rFonts w:ascii="Times New Roman" w:eastAsia="Times New Roman" w:hAnsi="Times New Roman" w:cs="Times New Roman"/>
          <w:sz w:val="20"/>
          <w:szCs w:val="20"/>
        </w:rPr>
        <w:t>” (MENCATO, 2018, p.</w:t>
      </w:r>
      <w:r>
        <w:rPr>
          <w:rFonts w:ascii="Times New Roman" w:eastAsia="Times New Roman" w:hAnsi="Times New Roman" w:cs="Times New Roman"/>
          <w:sz w:val="20"/>
          <w:szCs w:val="20"/>
        </w:rPr>
        <w:t xml:space="preserve"> 483), indissociável portanto, neste marco teórico, sexo, gênero e sexualidade.</w:t>
      </w:r>
    </w:p>
  </w:footnote>
  <w:footnote w:id="2">
    <w:p w14:paraId="0000008D" w14:textId="77777777" w:rsidR="00C3703E" w:rsidRPr="0024410D" w:rsidRDefault="00077BC5">
      <w:pPr>
        <w:spacing w:line="240" w:lineRule="auto"/>
        <w:jc w:val="both"/>
        <w:rPr>
          <w:rFonts w:ascii="Times New Roman" w:eastAsia="Times New Roman" w:hAnsi="Times New Roman" w:cs="Times New Roman"/>
          <w:sz w:val="20"/>
          <w:szCs w:val="20"/>
          <w:lang w:val="es-ES"/>
        </w:rPr>
      </w:pPr>
      <w:r>
        <w:rPr>
          <w:vertAlign w:val="superscript"/>
        </w:rPr>
        <w:footnoteRef/>
      </w:r>
      <w:r w:rsidRPr="0024410D">
        <w:rPr>
          <w:rFonts w:ascii="Times New Roman" w:eastAsia="Times New Roman" w:hAnsi="Times New Roman" w:cs="Times New Roman"/>
          <w:sz w:val="20"/>
          <w:szCs w:val="20"/>
          <w:lang w:val="es-ES"/>
        </w:rPr>
        <w:t xml:space="preserve"> Traduzido livremente pelas autoras, original: “</w:t>
      </w:r>
      <w:r w:rsidRPr="0024410D">
        <w:rPr>
          <w:rFonts w:ascii="Times New Roman" w:eastAsia="Times New Roman" w:hAnsi="Times New Roman" w:cs="Times New Roman"/>
          <w:i/>
          <w:sz w:val="20"/>
          <w:szCs w:val="20"/>
          <w:lang w:val="es-ES"/>
        </w:rPr>
        <w:t>los Presidentes de los Países del MERCOSUR, Bolivia y Chile se comprometieron a intensificar los esfuerzos de sus Gobiernos para m</w:t>
      </w:r>
      <w:r w:rsidRPr="0024410D">
        <w:rPr>
          <w:rFonts w:ascii="Times New Roman" w:eastAsia="Times New Roman" w:hAnsi="Times New Roman" w:cs="Times New Roman"/>
          <w:i/>
          <w:sz w:val="20"/>
          <w:szCs w:val="20"/>
          <w:lang w:val="es-ES"/>
        </w:rPr>
        <w:t>ejorar la calidad de vida en sus respectivos países y en la región, mediante la atención prioritaria a los sectores más desprotegidos de la población en materia de alimentación, salud, empleo, vivienda y educación</w:t>
      </w:r>
      <w:r w:rsidRPr="0024410D">
        <w:rPr>
          <w:rFonts w:ascii="Times New Roman" w:eastAsia="Times New Roman" w:hAnsi="Times New Roman" w:cs="Times New Roman"/>
          <w:sz w:val="20"/>
          <w:szCs w:val="20"/>
          <w:lang w:val="es-ES"/>
        </w:rPr>
        <w:t>” (MERCOSUL, 2018a)</w:t>
      </w:r>
    </w:p>
  </w:footnote>
  <w:footnote w:id="3">
    <w:p w14:paraId="0000008E" w14:textId="77777777" w:rsidR="00C3703E" w:rsidRDefault="00077BC5">
      <w:pPr>
        <w:spacing w:line="240" w:lineRule="auto"/>
        <w:jc w:val="both"/>
        <w:rPr>
          <w:rFonts w:ascii="Times New Roman" w:eastAsia="Times New Roman" w:hAnsi="Times New Roman" w:cs="Times New Roman"/>
          <w:sz w:val="20"/>
          <w:szCs w:val="20"/>
        </w:rPr>
      </w:pPr>
      <w:r>
        <w:rPr>
          <w:vertAlign w:val="superscript"/>
        </w:rPr>
        <w:footnoteRef/>
      </w:r>
      <w:r w:rsidRPr="0024410D">
        <w:rPr>
          <w:rFonts w:ascii="Times New Roman" w:eastAsia="Times New Roman" w:hAnsi="Times New Roman" w:cs="Times New Roman"/>
          <w:sz w:val="20"/>
          <w:szCs w:val="20"/>
          <w:lang w:val="es-ES"/>
        </w:rPr>
        <w:t xml:space="preserve"> Tradução livre, origi</w:t>
      </w:r>
      <w:r w:rsidRPr="0024410D">
        <w:rPr>
          <w:rFonts w:ascii="Times New Roman" w:eastAsia="Times New Roman" w:hAnsi="Times New Roman" w:cs="Times New Roman"/>
          <w:sz w:val="20"/>
          <w:szCs w:val="20"/>
          <w:lang w:val="es-ES"/>
        </w:rPr>
        <w:t>nal: “</w:t>
      </w:r>
      <w:r w:rsidRPr="0024410D">
        <w:rPr>
          <w:rFonts w:ascii="Times New Roman" w:eastAsia="Times New Roman" w:hAnsi="Times New Roman" w:cs="Times New Roman"/>
          <w:i/>
          <w:sz w:val="20"/>
          <w:szCs w:val="20"/>
          <w:lang w:val="es-ES"/>
        </w:rPr>
        <w:t>Fortalecer los mecanismos de apoyo a los grupos sociales más afectados, dando prioridad a los campos de la nutrición, con atención especial a la niñez, la juventud, la tercera edad, las mujeres cabeza de familia y madres menores de edad, las comunida</w:t>
      </w:r>
      <w:r w:rsidRPr="0024410D">
        <w:rPr>
          <w:rFonts w:ascii="Times New Roman" w:eastAsia="Times New Roman" w:hAnsi="Times New Roman" w:cs="Times New Roman"/>
          <w:i/>
          <w:sz w:val="20"/>
          <w:szCs w:val="20"/>
          <w:lang w:val="es-ES"/>
        </w:rPr>
        <w:t>des indígenas, las comunidades rurales críticas, los trabajadores migrantes y sus familias, las personas discapacitadas y otros grupos sociales vulnerables. (...) Velar por el estricto cumplimiento de las respectivas normas legales que prohíben la discrimi</w:t>
      </w:r>
      <w:r w:rsidRPr="0024410D">
        <w:rPr>
          <w:rFonts w:ascii="Times New Roman" w:eastAsia="Times New Roman" w:hAnsi="Times New Roman" w:cs="Times New Roman"/>
          <w:i/>
          <w:sz w:val="20"/>
          <w:szCs w:val="20"/>
          <w:lang w:val="es-ES"/>
        </w:rPr>
        <w:t>nación y resguardan la efectiva igualdad de derechos, trato y oportunidades para todos, sin distinción o exclusión de ningún tipo. Promover el crecimiento de sus sociedades fundado en la igualdad entre mujeres y varones en la vida social, política, económi</w:t>
      </w:r>
      <w:r w:rsidRPr="0024410D">
        <w:rPr>
          <w:rFonts w:ascii="Times New Roman" w:eastAsia="Times New Roman" w:hAnsi="Times New Roman" w:cs="Times New Roman"/>
          <w:i/>
          <w:sz w:val="20"/>
          <w:szCs w:val="20"/>
          <w:lang w:val="es-ES"/>
        </w:rPr>
        <w:t>ca y cultural, conforme a una concepción de la ciudadanía que amplíe los derechos de las mujeres y afirme la responsabilidad compartida entre ambos. (...) Desarrollar políticas que promuevan un tipo de sociedad no excluyente(...)</w:t>
      </w:r>
      <w:r w:rsidRPr="0024410D">
        <w:rPr>
          <w:rFonts w:ascii="Times New Roman" w:eastAsia="Times New Roman" w:hAnsi="Times New Roman" w:cs="Times New Roman"/>
          <w:sz w:val="20"/>
          <w:szCs w:val="20"/>
          <w:lang w:val="es-ES"/>
        </w:rPr>
        <w:t xml:space="preserve">” </w:t>
      </w:r>
      <w:r>
        <w:rPr>
          <w:rFonts w:ascii="Times New Roman" w:eastAsia="Times New Roman" w:hAnsi="Times New Roman" w:cs="Times New Roman"/>
          <w:sz w:val="20"/>
          <w:szCs w:val="20"/>
        </w:rPr>
        <w:t>(MERCOSUL, 2000)</w:t>
      </w:r>
    </w:p>
  </w:footnote>
  <w:footnote w:id="4">
    <w:p w14:paraId="0000008F" w14:textId="77777777" w:rsidR="00C3703E" w:rsidRDefault="00077BC5">
      <w:pPr>
        <w:spacing w:line="240" w:lineRule="auto"/>
        <w:jc w:val="both"/>
        <w:rPr>
          <w:rFonts w:ascii="Times New Roman" w:eastAsia="Times New Roman" w:hAnsi="Times New Roman" w:cs="Times New Roman"/>
          <w:sz w:val="20"/>
          <w:szCs w:val="20"/>
        </w:rPr>
      </w:pPr>
      <w:r>
        <w:rPr>
          <w:vertAlign w:val="superscript"/>
        </w:rPr>
        <w:footnoteRef/>
      </w:r>
      <w:r>
        <w:rPr>
          <w:rFonts w:ascii="Times New Roman" w:eastAsia="Times New Roman" w:hAnsi="Times New Roman" w:cs="Times New Roman"/>
          <w:sz w:val="20"/>
          <w:szCs w:val="20"/>
        </w:rPr>
        <w:t xml:space="preserve"> A esco</w:t>
      </w:r>
      <w:r>
        <w:rPr>
          <w:rFonts w:ascii="Times New Roman" w:eastAsia="Times New Roman" w:hAnsi="Times New Roman" w:cs="Times New Roman"/>
          <w:sz w:val="20"/>
          <w:szCs w:val="20"/>
        </w:rPr>
        <w:t>lha da denominação LGBT utilizada “</w:t>
      </w:r>
      <w:r>
        <w:rPr>
          <w:rFonts w:ascii="Times New Roman" w:eastAsia="Times New Roman" w:hAnsi="Times New Roman" w:cs="Times New Roman"/>
          <w:i/>
          <w:sz w:val="20"/>
          <w:szCs w:val="20"/>
        </w:rPr>
        <w:t>segue a fórmula recentemente aprovada pela I Conferência Nacional GLBT, referindo-se a lésbicas, gays, bissexuais, travestis e transexuais. (...) Embora, com a deliberação da I Conferência Nacional, a sigla LGBT venha pre</w:t>
      </w:r>
      <w:r>
        <w:rPr>
          <w:rFonts w:ascii="Times New Roman" w:eastAsia="Times New Roman" w:hAnsi="Times New Roman" w:cs="Times New Roman"/>
          <w:i/>
          <w:sz w:val="20"/>
          <w:szCs w:val="20"/>
        </w:rPr>
        <w:t>dominando nos meios ativistas, ela eventualmente assume outras variantes, que invertem a ordem das letras (colocando o ‘T’ à frente do ‘B’), duplicando o ‘T’ (para distinguir entre travestis e transexuais, por exemplo) ou acrescentam novas letras que remet</w:t>
      </w:r>
      <w:r>
        <w:rPr>
          <w:rFonts w:ascii="Times New Roman" w:eastAsia="Times New Roman" w:hAnsi="Times New Roman" w:cs="Times New Roman"/>
          <w:i/>
          <w:sz w:val="20"/>
          <w:szCs w:val="20"/>
        </w:rPr>
        <w:t>em a outras identidades (como ‘I’ de ‘intersexual’ ou ‘Q’ de ‘queer’). (...) a presente denominação, como mostra sua trajetória recente, é aberta e sujeita a contestações, variações e mudanças</w:t>
      </w:r>
      <w:r>
        <w:rPr>
          <w:rFonts w:ascii="Times New Roman" w:eastAsia="Times New Roman" w:hAnsi="Times New Roman" w:cs="Times New Roman"/>
          <w:sz w:val="20"/>
          <w:szCs w:val="20"/>
        </w:rPr>
        <w:t>” (SIMÕES; FACCHINI, 2009, p. 14-15)</w:t>
      </w:r>
    </w:p>
  </w:footnote>
  <w:footnote w:id="5">
    <w:p w14:paraId="00000090" w14:textId="77777777" w:rsidR="00C3703E" w:rsidRDefault="00077BC5">
      <w:pPr>
        <w:spacing w:line="240" w:lineRule="auto"/>
        <w:jc w:val="both"/>
        <w:rPr>
          <w:rFonts w:ascii="Times New Roman" w:eastAsia="Times New Roman" w:hAnsi="Times New Roman" w:cs="Times New Roman"/>
          <w:sz w:val="20"/>
          <w:szCs w:val="20"/>
        </w:rPr>
      </w:pPr>
      <w:r>
        <w:rPr>
          <w:vertAlign w:val="superscript"/>
        </w:rPr>
        <w:footnoteRef/>
      </w:r>
      <w:r>
        <w:rPr>
          <w:rFonts w:ascii="Times New Roman" w:eastAsia="Times New Roman" w:hAnsi="Times New Roman" w:cs="Times New Roman"/>
          <w:sz w:val="20"/>
          <w:szCs w:val="20"/>
        </w:rPr>
        <w:t xml:space="preserve"> Fala de reconhecimento pelo bloco da importância dos ODS: “A abertura do encontro foi encabeçada pelo diretor do INDEC, Bel. Jorge Todesca, em seu caráter de Presidente da REES, em virtude da Presidência Pro Tempore da Argentina (PPTA) do MERCOSUL durante</w:t>
      </w:r>
      <w:r>
        <w:rPr>
          <w:rFonts w:ascii="Times New Roman" w:eastAsia="Times New Roman" w:hAnsi="Times New Roman" w:cs="Times New Roman"/>
          <w:sz w:val="20"/>
          <w:szCs w:val="20"/>
        </w:rPr>
        <w:t xml:space="preserve"> o primeiro semestre de 2017. Nessa oportunidade ele manifestou que: ‘a Comissão de Estatística das Nações Unidas está muito comprometida com o programa dos ODS, e o MERCOSUL está fazendo os próximos passos nesse sentido’. ‘É interessante ver como um progr</w:t>
      </w:r>
      <w:r>
        <w:rPr>
          <w:rFonts w:ascii="Times New Roman" w:eastAsia="Times New Roman" w:hAnsi="Times New Roman" w:cs="Times New Roman"/>
          <w:sz w:val="20"/>
          <w:szCs w:val="20"/>
        </w:rPr>
        <w:t>ama internacional se espalha e oferece instrumentos norteadores para atingir um objetivo mundial desejável’.” (MERCOSUR, 2017)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CBC596" w14:textId="77777777" w:rsidR="00C255F3" w:rsidRDefault="00C255F3">
    <w:pPr>
      <w:pStyle w:val="Cabealh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83685C" w14:textId="77777777" w:rsidR="00C255F3" w:rsidRDefault="00C255F3">
    <w:pPr>
      <w:pStyle w:val="Cabealh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D68C5E" w14:textId="77777777" w:rsidR="00C255F3" w:rsidRDefault="00C255F3">
    <w:pPr>
      <w:pStyle w:val="Cabealh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trackRevisions/>
  <w:defaultTabStop w:val="720"/>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703E"/>
    <w:rsid w:val="00077BC5"/>
    <w:rsid w:val="000F71D5"/>
    <w:rsid w:val="0024410D"/>
    <w:rsid w:val="00265ECA"/>
    <w:rsid w:val="00513177"/>
    <w:rsid w:val="00754519"/>
    <w:rsid w:val="00916184"/>
    <w:rsid w:val="009562D1"/>
    <w:rsid w:val="00A06729"/>
    <w:rsid w:val="00BC2336"/>
    <w:rsid w:val="00C255F3"/>
    <w:rsid w:val="00C3703E"/>
    <w:rsid w:val="00CC4C2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sz w:val="22"/>
        <w:szCs w:val="22"/>
        <w:lang w:val="pt-BR" w:eastAsia="pt-BR"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Ttulo1">
    <w:name w:val="heading 1"/>
    <w:basedOn w:val="Normal"/>
    <w:next w:val="Normal"/>
    <w:pPr>
      <w:keepNext/>
      <w:keepLines/>
      <w:spacing w:before="400" w:after="120"/>
      <w:outlineLvl w:val="0"/>
    </w:pPr>
    <w:rPr>
      <w:sz w:val="40"/>
      <w:szCs w:val="40"/>
    </w:rPr>
  </w:style>
  <w:style w:type="paragraph" w:styleId="Ttulo2">
    <w:name w:val="heading 2"/>
    <w:basedOn w:val="Normal"/>
    <w:next w:val="Normal"/>
    <w:pPr>
      <w:keepNext/>
      <w:keepLines/>
      <w:spacing w:before="360" w:after="120"/>
      <w:outlineLvl w:val="1"/>
    </w:pPr>
    <w:rPr>
      <w:sz w:val="32"/>
      <w:szCs w:val="32"/>
    </w:rPr>
  </w:style>
  <w:style w:type="paragraph" w:styleId="Ttulo3">
    <w:name w:val="heading 3"/>
    <w:basedOn w:val="Normal"/>
    <w:next w:val="Normal"/>
    <w:pPr>
      <w:keepNext/>
      <w:keepLines/>
      <w:spacing w:before="320" w:after="80"/>
      <w:outlineLvl w:val="2"/>
    </w:pPr>
    <w:rPr>
      <w:color w:val="434343"/>
      <w:sz w:val="28"/>
      <w:szCs w:val="28"/>
    </w:rPr>
  </w:style>
  <w:style w:type="paragraph" w:styleId="Ttulo4">
    <w:name w:val="heading 4"/>
    <w:basedOn w:val="Normal"/>
    <w:next w:val="Normal"/>
    <w:pPr>
      <w:keepNext/>
      <w:keepLines/>
      <w:spacing w:before="280" w:after="80"/>
      <w:outlineLvl w:val="3"/>
    </w:pPr>
    <w:rPr>
      <w:color w:val="666666"/>
      <w:sz w:val="24"/>
      <w:szCs w:val="24"/>
    </w:rPr>
  </w:style>
  <w:style w:type="paragraph" w:styleId="Ttulo5">
    <w:name w:val="heading 5"/>
    <w:basedOn w:val="Normal"/>
    <w:next w:val="Normal"/>
    <w:pPr>
      <w:keepNext/>
      <w:keepLines/>
      <w:spacing w:before="240" w:after="80"/>
      <w:outlineLvl w:val="4"/>
    </w:pPr>
    <w:rPr>
      <w:color w:val="666666"/>
    </w:rPr>
  </w:style>
  <w:style w:type="paragraph" w:styleId="Ttulo6">
    <w:name w:val="heading 6"/>
    <w:basedOn w:val="Normal"/>
    <w:next w:val="Normal"/>
    <w:pPr>
      <w:keepNext/>
      <w:keepLines/>
      <w:spacing w:before="240" w:after="80"/>
      <w:outlineLvl w:val="5"/>
    </w:pPr>
    <w:rPr>
      <w:i/>
      <w:color w:val="66666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after="60"/>
    </w:pPr>
    <w:rPr>
      <w:sz w:val="52"/>
      <w:szCs w:val="52"/>
    </w:rPr>
  </w:style>
  <w:style w:type="paragraph" w:styleId="Subttulo">
    <w:name w:val="Subtitle"/>
    <w:basedOn w:val="Normal"/>
    <w:next w:val="Normal"/>
    <w:pPr>
      <w:keepNext/>
      <w:keepLines/>
      <w:spacing w:after="320"/>
    </w:pPr>
    <w:rPr>
      <w:color w:val="666666"/>
      <w:sz w:val="30"/>
      <w:szCs w:val="30"/>
    </w:rPr>
  </w:style>
  <w:style w:type="character" w:styleId="Refdecomentrio">
    <w:name w:val="annotation reference"/>
    <w:basedOn w:val="Fontepargpadro"/>
    <w:uiPriority w:val="99"/>
    <w:semiHidden/>
    <w:unhideWhenUsed/>
    <w:rsid w:val="0024410D"/>
    <w:rPr>
      <w:sz w:val="16"/>
      <w:szCs w:val="16"/>
    </w:rPr>
  </w:style>
  <w:style w:type="paragraph" w:styleId="Textodecomentrio">
    <w:name w:val="annotation text"/>
    <w:basedOn w:val="Normal"/>
    <w:link w:val="TextodecomentrioChar"/>
    <w:uiPriority w:val="99"/>
    <w:semiHidden/>
    <w:unhideWhenUsed/>
    <w:rsid w:val="0024410D"/>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24410D"/>
    <w:rPr>
      <w:sz w:val="20"/>
      <w:szCs w:val="20"/>
    </w:rPr>
  </w:style>
  <w:style w:type="paragraph" w:styleId="Assuntodocomentrio">
    <w:name w:val="annotation subject"/>
    <w:basedOn w:val="Textodecomentrio"/>
    <w:next w:val="Textodecomentrio"/>
    <w:link w:val="AssuntodocomentrioChar"/>
    <w:uiPriority w:val="99"/>
    <w:semiHidden/>
    <w:unhideWhenUsed/>
    <w:rsid w:val="0024410D"/>
    <w:rPr>
      <w:b/>
      <w:bCs/>
    </w:rPr>
  </w:style>
  <w:style w:type="character" w:customStyle="1" w:styleId="AssuntodocomentrioChar">
    <w:name w:val="Assunto do comentário Char"/>
    <w:basedOn w:val="TextodecomentrioChar"/>
    <w:link w:val="Assuntodocomentrio"/>
    <w:uiPriority w:val="99"/>
    <w:semiHidden/>
    <w:rsid w:val="0024410D"/>
    <w:rPr>
      <w:b/>
      <w:bCs/>
      <w:sz w:val="20"/>
      <w:szCs w:val="20"/>
    </w:rPr>
  </w:style>
  <w:style w:type="paragraph" w:styleId="Textodebalo">
    <w:name w:val="Balloon Text"/>
    <w:basedOn w:val="Normal"/>
    <w:link w:val="TextodebaloChar"/>
    <w:uiPriority w:val="99"/>
    <w:semiHidden/>
    <w:unhideWhenUsed/>
    <w:rsid w:val="0024410D"/>
    <w:pPr>
      <w:spacing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24410D"/>
    <w:rPr>
      <w:rFonts w:ascii="Segoe UI" w:hAnsi="Segoe UI" w:cs="Segoe UI"/>
      <w:sz w:val="18"/>
      <w:szCs w:val="18"/>
    </w:rPr>
  </w:style>
  <w:style w:type="paragraph" w:styleId="Cabealho">
    <w:name w:val="header"/>
    <w:basedOn w:val="Normal"/>
    <w:link w:val="CabealhoChar"/>
    <w:uiPriority w:val="99"/>
    <w:unhideWhenUsed/>
    <w:rsid w:val="00C255F3"/>
    <w:pPr>
      <w:tabs>
        <w:tab w:val="center" w:pos="4252"/>
        <w:tab w:val="right" w:pos="8504"/>
      </w:tabs>
      <w:spacing w:line="240" w:lineRule="auto"/>
    </w:pPr>
  </w:style>
  <w:style w:type="character" w:customStyle="1" w:styleId="CabealhoChar">
    <w:name w:val="Cabeçalho Char"/>
    <w:basedOn w:val="Fontepargpadro"/>
    <w:link w:val="Cabealho"/>
    <w:uiPriority w:val="99"/>
    <w:rsid w:val="00C255F3"/>
  </w:style>
  <w:style w:type="paragraph" w:styleId="Rodap">
    <w:name w:val="footer"/>
    <w:basedOn w:val="Normal"/>
    <w:link w:val="RodapChar"/>
    <w:uiPriority w:val="99"/>
    <w:unhideWhenUsed/>
    <w:rsid w:val="00C255F3"/>
    <w:pPr>
      <w:tabs>
        <w:tab w:val="center" w:pos="4252"/>
        <w:tab w:val="right" w:pos="8504"/>
      </w:tabs>
      <w:spacing w:line="240" w:lineRule="auto"/>
    </w:pPr>
  </w:style>
  <w:style w:type="character" w:customStyle="1" w:styleId="RodapChar">
    <w:name w:val="Rodapé Char"/>
    <w:basedOn w:val="Fontepargpadro"/>
    <w:link w:val="Rodap"/>
    <w:uiPriority w:val="99"/>
    <w:rsid w:val="00C255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FD8753-117E-4E1B-86A9-81F3EBAB87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5530</Words>
  <Characters>29865</Characters>
  <Application>Microsoft Office Word</Application>
  <DocSecurity>0</DocSecurity>
  <Lines>248</Lines>
  <Paragraphs>70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35325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2019-11-25T20:30:00Z</dcterms:created>
  <dcterms:modified xsi:type="dcterms:W3CDTF">2019-11-25T20:30:00Z</dcterms:modified>
</cp:coreProperties>
</file>