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78E5B" w14:textId="77777777" w:rsidR="00FD6063" w:rsidRPr="006C42BE" w:rsidRDefault="00FD6063" w:rsidP="00FD6063">
      <w:pPr>
        <w:pStyle w:val="Prrafodelista"/>
        <w:tabs>
          <w:tab w:val="left" w:pos="2187"/>
        </w:tabs>
        <w:ind w:left="0"/>
        <w:rPr>
          <w:rFonts w:ascii="Times New Roman" w:hAnsi="Times New Roman" w:cs="Times New Roman"/>
          <w:b/>
          <w:sz w:val="24"/>
          <w:szCs w:val="24"/>
          <w:lang w:val="es-ES"/>
        </w:rPr>
      </w:pPr>
      <w:bookmarkStart w:id="0" w:name="_GoBack"/>
      <w:bookmarkEnd w:id="0"/>
    </w:p>
    <w:p w14:paraId="62CCFCB8" w14:textId="77777777" w:rsidR="00FD6063" w:rsidRPr="006C42BE" w:rsidRDefault="00FD6063"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r w:rsidRPr="006C42BE">
        <w:rPr>
          <w:rFonts w:ascii="Times New Roman" w:hAnsi="Times New Roman" w:cs="Times New Roman"/>
          <w:b/>
          <w:sz w:val="24"/>
          <w:szCs w:val="24"/>
          <w:lang w:val="es-ES"/>
        </w:rPr>
        <w:t xml:space="preserve">Instrumentos, </w:t>
      </w:r>
      <w:r w:rsidR="00A22ECB" w:rsidRPr="006C42BE">
        <w:rPr>
          <w:rFonts w:ascii="Times New Roman" w:hAnsi="Times New Roman" w:cs="Times New Roman"/>
          <w:b/>
          <w:sz w:val="24"/>
          <w:szCs w:val="24"/>
          <w:lang w:val="es-ES"/>
        </w:rPr>
        <w:t xml:space="preserve">estrategias, </w:t>
      </w:r>
      <w:r w:rsidRPr="006C42BE">
        <w:rPr>
          <w:rFonts w:ascii="Times New Roman" w:hAnsi="Times New Roman" w:cs="Times New Roman"/>
          <w:b/>
          <w:sz w:val="24"/>
          <w:szCs w:val="24"/>
          <w:lang w:val="es-ES"/>
        </w:rPr>
        <w:t>apoyo y oposición en la contra-reforma de</w:t>
      </w:r>
      <w:r w:rsidR="001441F6">
        <w:rPr>
          <w:rFonts w:ascii="Times New Roman" w:hAnsi="Times New Roman" w:cs="Times New Roman"/>
          <w:b/>
          <w:sz w:val="24"/>
          <w:szCs w:val="24"/>
          <w:lang w:val="es-ES"/>
        </w:rPr>
        <w:t xml:space="preserve"> política social argentina, 2002</w:t>
      </w:r>
      <w:r w:rsidRPr="006C42BE">
        <w:rPr>
          <w:rFonts w:ascii="Times New Roman" w:hAnsi="Times New Roman" w:cs="Times New Roman"/>
          <w:b/>
          <w:sz w:val="24"/>
          <w:szCs w:val="24"/>
          <w:lang w:val="es-ES"/>
        </w:rPr>
        <w:t>-2015</w:t>
      </w:r>
      <w:r w:rsidRPr="006C42BE">
        <w:rPr>
          <w:rStyle w:val="Refdenotaalpie"/>
          <w:rFonts w:ascii="Times New Roman" w:hAnsi="Times New Roman" w:cs="Times New Roman"/>
          <w:b/>
          <w:sz w:val="24"/>
          <w:szCs w:val="24"/>
          <w:lang w:val="es-ES"/>
        </w:rPr>
        <w:footnoteReference w:id="1"/>
      </w:r>
    </w:p>
    <w:p w14:paraId="6D07F981" w14:textId="77777777"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p>
    <w:p w14:paraId="65FBC1D2" w14:textId="77777777"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rPr>
      </w:pPr>
      <w:r w:rsidRPr="006C42BE">
        <w:rPr>
          <w:rFonts w:ascii="Times New Roman" w:hAnsi="Times New Roman" w:cs="Times New Roman"/>
          <w:b/>
          <w:sz w:val="24"/>
          <w:szCs w:val="24"/>
          <w:lang w:val="en-GB"/>
        </w:rPr>
        <w:t xml:space="preserve">Institutional devices, strategies, support and refuse in counter-reform of social policy. </w:t>
      </w:r>
      <w:r w:rsidR="001441F6">
        <w:rPr>
          <w:rFonts w:ascii="Times New Roman" w:hAnsi="Times New Roman" w:cs="Times New Roman"/>
          <w:b/>
          <w:sz w:val="24"/>
          <w:szCs w:val="24"/>
        </w:rPr>
        <w:t>Argentina, 2002</w:t>
      </w:r>
      <w:r w:rsidRPr="006C42BE">
        <w:rPr>
          <w:rFonts w:ascii="Times New Roman" w:hAnsi="Times New Roman" w:cs="Times New Roman"/>
          <w:b/>
          <w:sz w:val="24"/>
          <w:szCs w:val="24"/>
        </w:rPr>
        <w:t>-2015</w:t>
      </w:r>
    </w:p>
    <w:p w14:paraId="06478E27" w14:textId="77777777" w:rsidR="00FD6063" w:rsidRPr="006C42BE" w:rsidRDefault="00FD6063" w:rsidP="00FD6063">
      <w:pPr>
        <w:pStyle w:val="Prrafodelista"/>
        <w:tabs>
          <w:tab w:val="left" w:pos="2187"/>
        </w:tabs>
        <w:spacing w:line="480" w:lineRule="auto"/>
        <w:ind w:left="0"/>
        <w:rPr>
          <w:rFonts w:ascii="Times New Roman" w:hAnsi="Times New Roman" w:cs="Times New Roman"/>
          <w:sz w:val="24"/>
          <w:szCs w:val="24"/>
        </w:rPr>
      </w:pPr>
      <w:r w:rsidRPr="006C42BE">
        <w:rPr>
          <w:rFonts w:ascii="Times New Roman" w:hAnsi="Times New Roman" w:cs="Times New Roman"/>
          <w:sz w:val="24"/>
          <w:szCs w:val="24"/>
        </w:rPr>
        <w:t>Claudia Danani, Ana Arias, Magdalena Chiara, Nora Gluz</w:t>
      </w:r>
    </w:p>
    <w:p w14:paraId="02252120" w14:textId="77777777" w:rsidR="00F81417" w:rsidRPr="006C42BE" w:rsidRDefault="00F81417" w:rsidP="00F81417">
      <w:pPr>
        <w:pStyle w:val="Prrafodelista"/>
        <w:tabs>
          <w:tab w:val="left" w:pos="2187"/>
        </w:tabs>
        <w:ind w:left="0"/>
        <w:rPr>
          <w:rFonts w:ascii="Times New Roman" w:hAnsi="Times New Roman" w:cs="Times New Roman"/>
          <w:b/>
          <w:sz w:val="24"/>
          <w:szCs w:val="24"/>
        </w:rPr>
      </w:pPr>
    </w:p>
    <w:p w14:paraId="65746984" w14:textId="77777777" w:rsidR="00F81417" w:rsidRPr="006C42BE" w:rsidRDefault="009C37F1" w:rsidP="00F81417">
      <w:pPr>
        <w:rPr>
          <w:rFonts w:ascii="Times New Roman" w:hAnsi="Times New Roman" w:cs="Times New Roman"/>
          <w:b/>
          <w:sz w:val="24"/>
          <w:szCs w:val="24"/>
          <w:lang w:val="es-ES"/>
        </w:rPr>
      </w:pPr>
      <w:r w:rsidRPr="006C42BE">
        <w:rPr>
          <w:rFonts w:ascii="Times New Roman" w:hAnsi="Times New Roman" w:cs="Times New Roman"/>
          <w:b/>
          <w:sz w:val="24"/>
          <w:szCs w:val="24"/>
          <w:lang w:val="es-ES"/>
        </w:rPr>
        <w:t>RESUMEN</w:t>
      </w:r>
    </w:p>
    <w:p w14:paraId="3E00E331" w14:textId="77777777" w:rsidR="00F81417" w:rsidRPr="006C42BE" w:rsidRDefault="00F81417" w:rsidP="00F81417">
      <w:pPr>
        <w:spacing w:line="276" w:lineRule="auto"/>
        <w:rPr>
          <w:rFonts w:ascii="Times New Roman" w:hAnsi="Times New Roman" w:cs="Times New Roman"/>
          <w:strike/>
          <w:sz w:val="24"/>
          <w:szCs w:val="24"/>
          <w:lang w:val="es-ES"/>
        </w:rPr>
      </w:pPr>
      <w:r w:rsidRPr="006C42BE">
        <w:rPr>
          <w:rFonts w:ascii="Times New Roman" w:hAnsi="Times New Roman" w:cs="Times New Roman"/>
          <w:sz w:val="24"/>
          <w:szCs w:val="24"/>
          <w:lang w:val="es-ES"/>
        </w:rPr>
        <w:t xml:space="preserve">El artículo analiza las intervenciones </w:t>
      </w:r>
      <w:r w:rsidR="00EA4B08" w:rsidRPr="006C42BE">
        <w:rPr>
          <w:rFonts w:ascii="Times New Roman" w:hAnsi="Times New Roman" w:cs="Times New Roman"/>
          <w:sz w:val="24"/>
          <w:szCs w:val="24"/>
          <w:lang w:val="es-ES"/>
        </w:rPr>
        <w:t xml:space="preserve">sociales </w:t>
      </w:r>
      <w:r w:rsidRPr="006C42BE">
        <w:rPr>
          <w:rFonts w:ascii="Times New Roman" w:hAnsi="Times New Roman" w:cs="Times New Roman"/>
          <w:sz w:val="24"/>
          <w:szCs w:val="24"/>
          <w:lang w:val="es-ES"/>
        </w:rPr>
        <w:t>llevadas adelan</w:t>
      </w:r>
      <w:r w:rsidR="000052F5" w:rsidRPr="006C42BE">
        <w:rPr>
          <w:rFonts w:ascii="Times New Roman" w:hAnsi="Times New Roman" w:cs="Times New Roman"/>
          <w:sz w:val="24"/>
          <w:szCs w:val="24"/>
          <w:lang w:val="es-ES"/>
        </w:rPr>
        <w:t>te en distintos sectores de polí</w:t>
      </w:r>
      <w:r w:rsidRPr="006C42BE">
        <w:rPr>
          <w:rFonts w:ascii="Times New Roman" w:hAnsi="Times New Roman" w:cs="Times New Roman"/>
          <w:sz w:val="24"/>
          <w:szCs w:val="24"/>
          <w:lang w:val="es-ES"/>
        </w:rPr>
        <w:t xml:space="preserve">tica social en Argentina en el período 2001-2002 hasta 2015, </w:t>
      </w:r>
      <w:r w:rsidR="00924C32" w:rsidRPr="006C42BE">
        <w:rPr>
          <w:rFonts w:ascii="Times New Roman" w:hAnsi="Times New Roman" w:cs="Times New Roman"/>
          <w:sz w:val="24"/>
          <w:szCs w:val="24"/>
          <w:lang w:val="es-ES"/>
        </w:rPr>
        <w:t xml:space="preserve">caracterizado por una contra-reforma de políticas laborales y sociales. El objetivo es </w:t>
      </w:r>
      <w:r w:rsidRPr="006C42BE">
        <w:rPr>
          <w:rFonts w:ascii="Times New Roman" w:hAnsi="Times New Roman" w:cs="Times New Roman"/>
          <w:sz w:val="24"/>
          <w:szCs w:val="24"/>
          <w:lang w:val="es-ES"/>
        </w:rPr>
        <w:t xml:space="preserve">desentrañar </w:t>
      </w:r>
      <w:r w:rsidR="00924C32" w:rsidRPr="006C42BE">
        <w:rPr>
          <w:rFonts w:ascii="Times New Roman" w:hAnsi="Times New Roman" w:cs="Times New Roman"/>
          <w:sz w:val="24"/>
          <w:szCs w:val="24"/>
          <w:lang w:val="es-ES"/>
        </w:rPr>
        <w:t xml:space="preserve">las principales </w:t>
      </w:r>
      <w:r w:rsidRPr="006C42BE">
        <w:rPr>
          <w:rFonts w:ascii="Times New Roman" w:hAnsi="Times New Roman" w:cs="Times New Roman"/>
          <w:sz w:val="24"/>
          <w:szCs w:val="24"/>
          <w:lang w:val="es-ES"/>
        </w:rPr>
        <w:t>características</w:t>
      </w:r>
      <w:r w:rsidR="00924C32" w:rsidRPr="006C42BE">
        <w:rPr>
          <w:rFonts w:ascii="Times New Roman" w:hAnsi="Times New Roman" w:cs="Times New Roman"/>
          <w:sz w:val="24"/>
          <w:szCs w:val="24"/>
          <w:lang w:val="es-ES"/>
        </w:rPr>
        <w:t xml:space="preserve"> del </w:t>
      </w:r>
      <w:commentRangeStart w:id="1"/>
      <w:r w:rsidR="00924C32" w:rsidRPr="006C42BE">
        <w:rPr>
          <w:rFonts w:ascii="Times New Roman" w:hAnsi="Times New Roman" w:cs="Times New Roman"/>
          <w:sz w:val="24"/>
          <w:szCs w:val="24"/>
          <w:lang w:val="es-ES"/>
        </w:rPr>
        <w:t>proceso</w:t>
      </w:r>
      <w:r w:rsidRPr="006C42BE">
        <w:rPr>
          <w:rFonts w:ascii="Times New Roman" w:hAnsi="Times New Roman" w:cs="Times New Roman"/>
          <w:sz w:val="24"/>
          <w:szCs w:val="24"/>
          <w:lang w:val="es-ES"/>
        </w:rPr>
        <w:t xml:space="preserve"> </w:t>
      </w:r>
      <w:commentRangeEnd w:id="1"/>
      <w:r w:rsidR="009B2081">
        <w:rPr>
          <w:rStyle w:val="Refdecomentario"/>
        </w:rPr>
        <w:commentReference w:id="1"/>
      </w:r>
      <w:r w:rsidR="00124CB6"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modalidad </w:t>
      </w:r>
      <w:r w:rsidR="00A22ECB" w:rsidRPr="006C42BE">
        <w:rPr>
          <w:rFonts w:ascii="Times New Roman" w:hAnsi="Times New Roman" w:cs="Times New Roman"/>
          <w:sz w:val="24"/>
          <w:szCs w:val="24"/>
          <w:lang w:val="es-ES"/>
        </w:rPr>
        <w:t xml:space="preserve">y perfil </w:t>
      </w:r>
      <w:r w:rsidRPr="006C42BE">
        <w:rPr>
          <w:rFonts w:ascii="Times New Roman" w:hAnsi="Times New Roman" w:cs="Times New Roman"/>
          <w:sz w:val="24"/>
          <w:szCs w:val="24"/>
          <w:lang w:val="es-ES"/>
        </w:rPr>
        <w:t>de protección</w:t>
      </w:r>
      <w:r w:rsidR="000052F5" w:rsidRPr="006C42BE">
        <w:rPr>
          <w:rFonts w:ascii="Times New Roman" w:hAnsi="Times New Roman" w:cs="Times New Roman"/>
          <w:sz w:val="24"/>
          <w:szCs w:val="24"/>
          <w:lang w:val="es-ES"/>
        </w:rPr>
        <w:t xml:space="preserve"> y </w:t>
      </w:r>
      <w:r w:rsidRPr="006C42BE">
        <w:rPr>
          <w:rFonts w:ascii="Times New Roman" w:hAnsi="Times New Roman" w:cs="Times New Roman"/>
          <w:sz w:val="24"/>
          <w:szCs w:val="24"/>
          <w:lang w:val="es-ES"/>
        </w:rPr>
        <w:t>bienestar</w:t>
      </w:r>
      <w:r w:rsidR="00924C32"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Asimismo, el trabajo </w:t>
      </w:r>
      <w:r w:rsidR="00924C32" w:rsidRPr="006C42BE">
        <w:rPr>
          <w:rFonts w:ascii="Times New Roman" w:hAnsi="Times New Roman" w:cs="Times New Roman"/>
          <w:sz w:val="24"/>
          <w:szCs w:val="24"/>
          <w:lang w:val="es-ES"/>
        </w:rPr>
        <w:t xml:space="preserve">pone énfasis en las </w:t>
      </w:r>
      <w:r w:rsidR="00124CB6" w:rsidRPr="006C42BE">
        <w:rPr>
          <w:rFonts w:ascii="Times New Roman" w:hAnsi="Times New Roman" w:cs="Times New Roman"/>
          <w:sz w:val="24"/>
          <w:szCs w:val="24"/>
          <w:lang w:val="es-ES"/>
        </w:rPr>
        <w:t xml:space="preserve"> </w:t>
      </w:r>
      <w:r w:rsidRPr="006C42BE">
        <w:rPr>
          <w:rFonts w:ascii="Times New Roman" w:hAnsi="Times New Roman" w:cs="Times New Roman"/>
          <w:sz w:val="24"/>
          <w:szCs w:val="24"/>
          <w:lang w:val="es-ES"/>
        </w:rPr>
        <w:t xml:space="preserve">continuidades y rupturas entre esa modalidad de intervención y el régimen de protección “tradicionalmente” vigente en el país, e interpreta las tendencias y </w:t>
      </w:r>
      <w:r w:rsidR="00166E91" w:rsidRPr="006C42BE">
        <w:rPr>
          <w:rFonts w:ascii="Times New Roman" w:hAnsi="Times New Roman" w:cs="Times New Roman"/>
          <w:sz w:val="24"/>
          <w:szCs w:val="24"/>
          <w:lang w:val="es-ES"/>
        </w:rPr>
        <w:t>preferencias</w:t>
      </w:r>
      <w:r w:rsidRPr="006C42BE">
        <w:rPr>
          <w:rFonts w:ascii="Times New Roman" w:hAnsi="Times New Roman" w:cs="Times New Roman"/>
          <w:sz w:val="24"/>
          <w:szCs w:val="24"/>
          <w:lang w:val="es-ES"/>
        </w:rPr>
        <w:t xml:space="preserve"> sociales genera</w:t>
      </w:r>
      <w:r w:rsidR="00A22ECB" w:rsidRPr="006C42BE">
        <w:rPr>
          <w:rFonts w:ascii="Times New Roman" w:hAnsi="Times New Roman" w:cs="Times New Roman"/>
          <w:sz w:val="24"/>
          <w:szCs w:val="24"/>
          <w:lang w:val="es-ES"/>
        </w:rPr>
        <w:t>das, en apoyo y en oposición</w:t>
      </w:r>
      <w:r w:rsidRPr="006C42BE">
        <w:rPr>
          <w:rFonts w:ascii="Times New Roman" w:hAnsi="Times New Roman" w:cs="Times New Roman"/>
          <w:sz w:val="24"/>
          <w:szCs w:val="24"/>
          <w:lang w:val="es-ES"/>
        </w:rPr>
        <w:t xml:space="preserve">. En ese ejercicio </w:t>
      </w:r>
      <w:r w:rsidR="00124CB6" w:rsidRPr="006C42BE">
        <w:rPr>
          <w:rFonts w:ascii="Times New Roman" w:hAnsi="Times New Roman" w:cs="Times New Roman"/>
          <w:sz w:val="24"/>
          <w:szCs w:val="24"/>
          <w:lang w:val="es-ES"/>
        </w:rPr>
        <w:t>se presta especial atención a las estrategias e ins</w:t>
      </w:r>
      <w:r w:rsidRPr="006C42BE">
        <w:rPr>
          <w:rFonts w:ascii="Times New Roman" w:hAnsi="Times New Roman" w:cs="Times New Roman"/>
          <w:sz w:val="24"/>
          <w:szCs w:val="24"/>
          <w:lang w:val="es-ES"/>
        </w:rPr>
        <w:t xml:space="preserve">trumentos de política puestos en juego y a la disposición social (o el rechazo) a </w:t>
      </w:r>
      <w:commentRangeStart w:id="2"/>
      <w:r w:rsidRPr="006C42BE">
        <w:rPr>
          <w:rFonts w:ascii="Times New Roman" w:hAnsi="Times New Roman" w:cs="Times New Roman"/>
          <w:sz w:val="24"/>
          <w:szCs w:val="24"/>
          <w:lang w:val="es-ES"/>
        </w:rPr>
        <w:t xml:space="preserve">una institucionalidad y modelo de intervención </w:t>
      </w:r>
      <w:commentRangeEnd w:id="2"/>
      <w:r w:rsidR="009B2081">
        <w:rPr>
          <w:rStyle w:val="Refdecomentario"/>
        </w:rPr>
        <w:commentReference w:id="2"/>
      </w:r>
      <w:r w:rsidRPr="006C42BE">
        <w:rPr>
          <w:rFonts w:ascii="Times New Roman" w:hAnsi="Times New Roman" w:cs="Times New Roman"/>
          <w:sz w:val="24"/>
          <w:szCs w:val="24"/>
          <w:lang w:val="es-ES"/>
        </w:rPr>
        <w:t xml:space="preserve">que, aunque con déficits, </w:t>
      </w:r>
      <w:r w:rsidR="00626DCA" w:rsidRPr="006C42BE">
        <w:rPr>
          <w:rFonts w:ascii="Times New Roman" w:hAnsi="Times New Roman" w:cs="Times New Roman"/>
          <w:sz w:val="24"/>
          <w:szCs w:val="24"/>
          <w:lang w:val="es-ES"/>
        </w:rPr>
        <w:t>buscó recomponer la institucionalidad social pública.</w:t>
      </w:r>
    </w:p>
    <w:p w14:paraId="4318B168" w14:textId="77777777" w:rsidR="009C37F1" w:rsidRPr="006C42BE" w:rsidRDefault="009C37F1" w:rsidP="00F81417">
      <w:pPr>
        <w:rPr>
          <w:rFonts w:ascii="Times New Roman" w:hAnsi="Times New Roman" w:cs="Times New Roman"/>
          <w:sz w:val="24"/>
          <w:szCs w:val="24"/>
        </w:rPr>
      </w:pPr>
      <w:r w:rsidRPr="006C42BE">
        <w:rPr>
          <w:rFonts w:ascii="Times New Roman" w:hAnsi="Times New Roman" w:cs="Times New Roman"/>
          <w:sz w:val="24"/>
          <w:szCs w:val="24"/>
        </w:rPr>
        <w:t>Política Social –Protección y bienestar social –Universalismo – contra-reforma - Argentina</w:t>
      </w:r>
    </w:p>
    <w:p w14:paraId="255ABE1F" w14:textId="77777777" w:rsidR="009C37F1" w:rsidRPr="006C42BE" w:rsidRDefault="009C37F1" w:rsidP="00F81417">
      <w:pPr>
        <w:rPr>
          <w:rFonts w:ascii="Times New Roman" w:hAnsi="Times New Roman" w:cs="Times New Roman"/>
          <w:b/>
          <w:sz w:val="24"/>
          <w:szCs w:val="24"/>
          <w:lang w:val="en-GB"/>
        </w:rPr>
      </w:pPr>
      <w:r w:rsidRPr="006C42BE">
        <w:rPr>
          <w:rFonts w:ascii="Times New Roman" w:hAnsi="Times New Roman" w:cs="Times New Roman"/>
          <w:b/>
          <w:sz w:val="24"/>
          <w:szCs w:val="24"/>
          <w:lang w:val="en-GB"/>
        </w:rPr>
        <w:t>ABSTRACT</w:t>
      </w:r>
    </w:p>
    <w:p w14:paraId="253C6ED9" w14:textId="77777777" w:rsidR="009C37F1" w:rsidRPr="006C42BE" w:rsidRDefault="00EA4B08" w:rsidP="00F81417">
      <w:pPr>
        <w:rPr>
          <w:rFonts w:ascii="Times New Roman" w:hAnsi="Times New Roman" w:cs="Times New Roman"/>
          <w:sz w:val="24"/>
          <w:szCs w:val="24"/>
          <w:lang w:val="en-GB"/>
        </w:rPr>
      </w:pPr>
      <w:r w:rsidRPr="006C42BE">
        <w:rPr>
          <w:rFonts w:ascii="Times New Roman" w:hAnsi="Times New Roman" w:cs="Times New Roman"/>
          <w:sz w:val="24"/>
          <w:szCs w:val="24"/>
          <w:lang w:val="en-GB"/>
        </w:rPr>
        <w:t>This article analyzes argentine social interventions between 2001-2002 and 2015</w:t>
      </w:r>
      <w:r w:rsidR="00924C32" w:rsidRPr="006C42BE">
        <w:rPr>
          <w:rFonts w:ascii="Times New Roman" w:hAnsi="Times New Roman" w:cs="Times New Roman"/>
          <w:sz w:val="24"/>
          <w:szCs w:val="24"/>
          <w:lang w:val="en-GB"/>
        </w:rPr>
        <w:t>; this period is identified as a counter-reform of labour and social policies including different sectors</w:t>
      </w:r>
      <w:r w:rsidRPr="006C42BE">
        <w:rPr>
          <w:rFonts w:ascii="Times New Roman" w:hAnsi="Times New Roman" w:cs="Times New Roman"/>
          <w:sz w:val="24"/>
          <w:szCs w:val="24"/>
          <w:lang w:val="en-GB"/>
        </w:rPr>
        <w:t>. The goal is comprehend the str</w:t>
      </w:r>
      <w:r w:rsidR="00FC166E" w:rsidRPr="006C42BE">
        <w:rPr>
          <w:rFonts w:ascii="Times New Roman" w:hAnsi="Times New Roman" w:cs="Times New Roman"/>
          <w:sz w:val="24"/>
          <w:szCs w:val="24"/>
          <w:lang w:val="en-GB"/>
        </w:rPr>
        <w:t>uctural features, logic and kind of social protection</w:t>
      </w:r>
      <w:r w:rsidR="00924C32" w:rsidRPr="006C42BE">
        <w:rPr>
          <w:rFonts w:ascii="Times New Roman" w:hAnsi="Times New Roman" w:cs="Times New Roman"/>
          <w:sz w:val="24"/>
          <w:szCs w:val="24"/>
          <w:lang w:val="en-GB"/>
        </w:rPr>
        <w:t xml:space="preserve"> and welfare</w:t>
      </w:r>
      <w:r w:rsidR="00FC166E" w:rsidRPr="006C42BE">
        <w:rPr>
          <w:rFonts w:ascii="Times New Roman" w:hAnsi="Times New Roman" w:cs="Times New Roman"/>
          <w:sz w:val="24"/>
          <w:szCs w:val="24"/>
          <w:lang w:val="en-GB"/>
        </w:rPr>
        <w:t xml:space="preserve"> they have presented. The article </w:t>
      </w:r>
      <w:r w:rsidR="00924C32" w:rsidRPr="006C42BE">
        <w:rPr>
          <w:rFonts w:ascii="Times New Roman" w:hAnsi="Times New Roman" w:cs="Times New Roman"/>
          <w:sz w:val="24"/>
          <w:szCs w:val="24"/>
          <w:lang w:val="en-GB"/>
        </w:rPr>
        <w:t xml:space="preserve">stresses </w:t>
      </w:r>
      <w:r w:rsidR="00FC166E" w:rsidRPr="006C42BE">
        <w:rPr>
          <w:rFonts w:ascii="Times New Roman" w:hAnsi="Times New Roman" w:cs="Times New Roman"/>
          <w:sz w:val="24"/>
          <w:szCs w:val="24"/>
          <w:lang w:val="en-GB"/>
        </w:rPr>
        <w:t>breaks and continuities</w:t>
      </w:r>
      <w:r w:rsidR="00924C32" w:rsidRPr="006C42BE">
        <w:rPr>
          <w:rFonts w:ascii="Times New Roman" w:hAnsi="Times New Roman" w:cs="Times New Roman"/>
          <w:sz w:val="24"/>
          <w:szCs w:val="24"/>
          <w:lang w:val="en-GB"/>
        </w:rPr>
        <w:t xml:space="preserve"> between these policies and </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traditional</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 xml:space="preserve"> </w:t>
      </w:r>
      <w:r w:rsidR="004E2F59" w:rsidRPr="006C42BE">
        <w:rPr>
          <w:rFonts w:ascii="Times New Roman" w:hAnsi="Times New Roman" w:cs="Times New Roman"/>
          <w:sz w:val="24"/>
          <w:szCs w:val="24"/>
          <w:lang w:val="en-GB"/>
        </w:rPr>
        <w:t xml:space="preserve">regime and intends to get social </w:t>
      </w:r>
      <w:r w:rsidR="00166E91" w:rsidRPr="006C42BE">
        <w:rPr>
          <w:rFonts w:ascii="Times New Roman" w:hAnsi="Times New Roman" w:cs="Times New Roman"/>
          <w:sz w:val="24"/>
          <w:szCs w:val="24"/>
          <w:lang w:val="en-GB"/>
        </w:rPr>
        <w:t>preferences</w:t>
      </w:r>
      <w:r w:rsidR="004E2F59" w:rsidRPr="006C42BE">
        <w:rPr>
          <w:rFonts w:ascii="Times New Roman" w:hAnsi="Times New Roman" w:cs="Times New Roman"/>
          <w:sz w:val="24"/>
          <w:szCs w:val="24"/>
          <w:lang w:val="en-GB"/>
        </w:rPr>
        <w:t xml:space="preserve"> to accept or refuse this kind of institutional and political reform. The authors assert that </w:t>
      </w:r>
      <w:r w:rsidR="00166E91" w:rsidRPr="006C42BE">
        <w:rPr>
          <w:rFonts w:ascii="Times New Roman" w:hAnsi="Times New Roman" w:cs="Times New Roman"/>
          <w:sz w:val="24"/>
          <w:szCs w:val="24"/>
          <w:lang w:val="en-GB"/>
        </w:rPr>
        <w:t xml:space="preserve">this process </w:t>
      </w:r>
      <w:r w:rsidR="00626DCA" w:rsidRPr="006C42BE">
        <w:rPr>
          <w:rFonts w:ascii="Times New Roman" w:hAnsi="Times New Roman" w:cs="Times New Roman"/>
          <w:sz w:val="24"/>
          <w:szCs w:val="24"/>
          <w:lang w:val="en-GB"/>
        </w:rPr>
        <w:t>made an effort to rebuild a new public sector in social policies, but serious errors have been made.</w:t>
      </w:r>
      <w:r w:rsidR="004E2F59" w:rsidRPr="006C42BE">
        <w:rPr>
          <w:rFonts w:ascii="Times New Roman" w:hAnsi="Times New Roman" w:cs="Times New Roman"/>
          <w:sz w:val="24"/>
          <w:szCs w:val="24"/>
          <w:lang w:val="en-GB"/>
        </w:rPr>
        <w:t xml:space="preserve"> </w:t>
      </w:r>
    </w:p>
    <w:p w14:paraId="1A754E88" w14:textId="77777777" w:rsidR="009C37F1" w:rsidRPr="006C42BE" w:rsidRDefault="009C37F1" w:rsidP="009C37F1">
      <w:pPr>
        <w:spacing w:line="276" w:lineRule="auto"/>
        <w:rPr>
          <w:rFonts w:ascii="Times New Roman" w:hAnsi="Times New Roman" w:cs="Times New Roman"/>
          <w:sz w:val="24"/>
          <w:szCs w:val="24"/>
          <w:lang w:val="en-GB"/>
        </w:rPr>
      </w:pPr>
      <w:r w:rsidRPr="006C42BE">
        <w:rPr>
          <w:rFonts w:ascii="Times New Roman" w:hAnsi="Times New Roman" w:cs="Times New Roman"/>
          <w:sz w:val="24"/>
          <w:szCs w:val="24"/>
          <w:lang w:val="en-GB"/>
        </w:rPr>
        <w:t>Social Policy – Social Protection and Welfare -</w:t>
      </w:r>
      <w:r w:rsidR="00331533" w:rsidRPr="006C42BE">
        <w:rPr>
          <w:rFonts w:ascii="Times New Roman" w:hAnsi="Times New Roman" w:cs="Times New Roman"/>
          <w:sz w:val="24"/>
          <w:szCs w:val="24"/>
          <w:lang w:val="en-GB"/>
        </w:rPr>
        <w:t xml:space="preserve"> </w:t>
      </w:r>
      <w:r w:rsidRPr="006C42BE">
        <w:rPr>
          <w:rFonts w:ascii="Times New Roman" w:hAnsi="Times New Roman" w:cs="Times New Roman"/>
          <w:sz w:val="24"/>
          <w:szCs w:val="24"/>
          <w:lang w:val="en-GB"/>
        </w:rPr>
        <w:t>Universalism – Counter-Reform – Argentina</w:t>
      </w:r>
    </w:p>
    <w:p w14:paraId="215266C3" w14:textId="77777777" w:rsidR="008302CA" w:rsidRPr="006C42BE" w:rsidRDefault="008302CA" w:rsidP="009C37F1">
      <w:pPr>
        <w:spacing w:line="276" w:lineRule="auto"/>
        <w:rPr>
          <w:rFonts w:ascii="Times New Roman" w:hAnsi="Times New Roman" w:cs="Times New Roman"/>
          <w:sz w:val="24"/>
          <w:szCs w:val="24"/>
          <w:lang w:val="en-GB"/>
        </w:rPr>
      </w:pPr>
    </w:p>
    <w:p w14:paraId="713D18E2" w14:textId="77777777" w:rsidR="008302CA" w:rsidRPr="006C42BE" w:rsidRDefault="008302CA" w:rsidP="009C37F1">
      <w:pPr>
        <w:spacing w:line="276" w:lineRule="auto"/>
        <w:rPr>
          <w:rFonts w:ascii="Times New Roman" w:hAnsi="Times New Roman" w:cs="Times New Roman"/>
          <w:b/>
          <w:sz w:val="24"/>
          <w:szCs w:val="24"/>
          <w:lang w:val="pt-BR"/>
        </w:rPr>
      </w:pPr>
      <w:r w:rsidRPr="006C42BE">
        <w:rPr>
          <w:rFonts w:ascii="Times New Roman" w:hAnsi="Times New Roman" w:cs="Times New Roman"/>
          <w:b/>
          <w:sz w:val="24"/>
          <w:szCs w:val="24"/>
          <w:lang w:val="pt-BR"/>
        </w:rPr>
        <w:t>RESUMO</w:t>
      </w:r>
    </w:p>
    <w:p w14:paraId="4FF09255" w14:textId="77777777" w:rsidR="008302CA" w:rsidRPr="006C42BE" w:rsidRDefault="008302CA" w:rsidP="001E4181">
      <w:pPr>
        <w:pStyle w:val="yiv8143336542msonormal"/>
        <w:shd w:val="clear" w:color="auto" w:fill="FFFFFF"/>
        <w:spacing w:line="235" w:lineRule="atLeast"/>
        <w:rPr>
          <w:lang w:val="pt-BR"/>
        </w:rPr>
      </w:pPr>
      <w:r w:rsidRPr="006C42BE">
        <w:rPr>
          <w:lang w:val="pt-BR"/>
        </w:rPr>
        <w:t xml:space="preserve">O artigo analisa intervenções sociais levadas a cabo em diferentes setores de política social na Argentina no período 2001-2002 e até 2015; caraterizado por uma contra-reforma de políticas laborais e sociais. O objetivo é desentranhar as principais </w:t>
      </w:r>
      <w:r w:rsidRPr="006C42BE">
        <w:rPr>
          <w:lang w:val="pt-BR"/>
        </w:rPr>
        <w:lastRenderedPageBreak/>
        <w:t xml:space="preserve">características do processo, sua modalidade e perfil de proteção  e bem-estar. Também, o artigo dá ênfase nas continuidades e fraturas entre aquela modalidade de intervenção e o regime de proteção "tradicionalmente" vigente no pais, e interpreta as tendências e preferências sociais geradas, em apoio e em oposição. Nesse exercício presta-se especial atenção às estratégias e instrumentos de política postos em jogo e à disposição social (o repúdio) a uma institucionalidade e modelo de intervenção que, ainda com déficits, </w:t>
      </w:r>
      <w:r w:rsidR="00533811" w:rsidRPr="006C42BE">
        <w:rPr>
          <w:lang w:val="pt-BR"/>
        </w:rPr>
        <w:t>tentou melhorar a instituição publica.</w:t>
      </w:r>
    </w:p>
    <w:p w14:paraId="5B2AA703" w14:textId="77777777" w:rsidR="008302CA" w:rsidRPr="006C42BE" w:rsidRDefault="008302CA" w:rsidP="001E4181">
      <w:pPr>
        <w:pStyle w:val="yiv8143336542msonormal"/>
        <w:shd w:val="clear" w:color="auto" w:fill="FFFFFF"/>
        <w:spacing w:line="235" w:lineRule="atLeast"/>
        <w:rPr>
          <w:lang w:val="pt-BR"/>
        </w:rPr>
      </w:pPr>
      <w:r w:rsidRPr="006C42BE">
        <w:rPr>
          <w:lang w:val="pt-BR"/>
        </w:rPr>
        <w:t>Política social - Proteção e bem-estar social – Universalismo - contra-reforma - Argentina</w:t>
      </w:r>
    </w:p>
    <w:p w14:paraId="0E55F9A8" w14:textId="77777777" w:rsidR="008302CA" w:rsidRPr="006C42BE" w:rsidRDefault="008302CA" w:rsidP="001E4181">
      <w:pPr>
        <w:spacing w:line="276" w:lineRule="auto"/>
        <w:rPr>
          <w:rFonts w:ascii="Times New Roman" w:hAnsi="Times New Roman" w:cs="Times New Roman"/>
          <w:sz w:val="24"/>
          <w:szCs w:val="24"/>
          <w:lang w:val="pt-BR"/>
        </w:rPr>
      </w:pPr>
    </w:p>
    <w:p w14:paraId="13575429" w14:textId="77777777" w:rsidR="00F81417" w:rsidRPr="006C42BE" w:rsidRDefault="00F81417" w:rsidP="001E4181">
      <w:pPr>
        <w:rPr>
          <w:rFonts w:ascii="Times New Roman" w:hAnsi="Times New Roman" w:cs="Times New Roman"/>
          <w:sz w:val="24"/>
          <w:szCs w:val="24"/>
          <w:lang w:val="pt-BR"/>
        </w:rPr>
      </w:pPr>
      <w:r w:rsidRPr="006C42BE">
        <w:rPr>
          <w:rFonts w:ascii="Times New Roman" w:hAnsi="Times New Roman" w:cs="Times New Roman"/>
          <w:sz w:val="24"/>
          <w:szCs w:val="24"/>
          <w:lang w:val="pt-BR"/>
        </w:rPr>
        <w:br w:type="page"/>
      </w:r>
    </w:p>
    <w:p w14:paraId="1844703B" w14:textId="77777777" w:rsidR="00F81417" w:rsidRPr="006C42BE" w:rsidRDefault="00C23BED" w:rsidP="001E4181">
      <w:pPr>
        <w:pStyle w:val="Prrafodelista"/>
        <w:numPr>
          <w:ilvl w:val="0"/>
          <w:numId w:val="1"/>
        </w:numPr>
        <w:tabs>
          <w:tab w:val="left" w:pos="2187"/>
        </w:tabs>
        <w:spacing w:line="480" w:lineRule="auto"/>
        <w:rPr>
          <w:rFonts w:ascii="Times New Roman" w:hAnsi="Times New Roman" w:cs="Times New Roman"/>
          <w:b/>
          <w:sz w:val="24"/>
          <w:szCs w:val="24"/>
          <w:lang w:val="es-ES"/>
        </w:rPr>
      </w:pPr>
      <w:r w:rsidRPr="006C42BE">
        <w:rPr>
          <w:rFonts w:ascii="Times New Roman" w:hAnsi="Times New Roman" w:cs="Times New Roman"/>
          <w:b/>
          <w:sz w:val="24"/>
          <w:szCs w:val="24"/>
          <w:lang w:val="es-ES"/>
        </w:rPr>
        <w:lastRenderedPageBreak/>
        <w:t>Introducción</w:t>
      </w:r>
      <w:r w:rsidR="00F81417" w:rsidRPr="006C42BE">
        <w:rPr>
          <w:rFonts w:ascii="Times New Roman" w:hAnsi="Times New Roman" w:cs="Times New Roman"/>
          <w:b/>
          <w:sz w:val="24"/>
          <w:szCs w:val="24"/>
          <w:lang w:val="es-ES"/>
        </w:rPr>
        <w:tab/>
      </w:r>
    </w:p>
    <w:p w14:paraId="149237EA" w14:textId="77777777" w:rsidR="00F81417" w:rsidRPr="006C42BE"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In</w:t>
      </w:r>
      <w:r w:rsidR="00F81417" w:rsidRPr="006C42BE">
        <w:rPr>
          <w:rFonts w:ascii="Times New Roman" w:hAnsi="Times New Roman" w:cs="Times New Roman"/>
          <w:sz w:val="24"/>
          <w:szCs w:val="24"/>
        </w:rPr>
        <w:t>depend</w:t>
      </w:r>
      <w:r w:rsidRPr="006C42BE">
        <w:rPr>
          <w:rFonts w:ascii="Times New Roman" w:hAnsi="Times New Roman" w:cs="Times New Roman"/>
          <w:sz w:val="24"/>
          <w:szCs w:val="24"/>
        </w:rPr>
        <w:t>i</w:t>
      </w:r>
      <w:r w:rsidR="00F81417" w:rsidRPr="006C42BE">
        <w:rPr>
          <w:rFonts w:ascii="Times New Roman" w:hAnsi="Times New Roman" w:cs="Times New Roman"/>
          <w:sz w:val="24"/>
          <w:szCs w:val="24"/>
        </w:rPr>
        <w:t>en</w:t>
      </w:r>
      <w:r w:rsidRPr="006C42BE">
        <w:rPr>
          <w:rFonts w:ascii="Times New Roman" w:hAnsi="Times New Roman" w:cs="Times New Roman"/>
          <w:sz w:val="24"/>
          <w:szCs w:val="24"/>
        </w:rPr>
        <w:t xml:space="preserve">temente de la evaluación que se </w:t>
      </w:r>
      <w:r w:rsidR="00EB5CC8" w:rsidRPr="006C42BE">
        <w:rPr>
          <w:rFonts w:ascii="Times New Roman" w:hAnsi="Times New Roman" w:cs="Times New Roman"/>
          <w:sz w:val="24"/>
          <w:szCs w:val="24"/>
        </w:rPr>
        <w:t>realice</w:t>
      </w:r>
      <w:r w:rsidR="00F81417" w:rsidRPr="006C42BE">
        <w:rPr>
          <w:rFonts w:ascii="Times New Roman" w:hAnsi="Times New Roman" w:cs="Times New Roman"/>
          <w:sz w:val="24"/>
          <w:szCs w:val="24"/>
        </w:rPr>
        <w:t>, está aceptado que en la Argentina los primeros quince años del siglo XXI, y especialmente los inmediatos a la “gran crisis de 2001/2002”, constituyeron un período de cambios político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económico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social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e institucional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Muchos de ellos </w:t>
      </w:r>
      <w:r w:rsidR="00F81417" w:rsidRPr="006C42BE">
        <w:rPr>
          <w:rFonts w:ascii="Times New Roman" w:hAnsi="Times New Roman" w:cs="Times New Roman"/>
          <w:sz w:val="24"/>
          <w:szCs w:val="24"/>
        </w:rPr>
        <w:t>incidieron en las condiciones de vida de grupos extensos</w:t>
      </w:r>
      <w:r w:rsidRPr="006C42BE">
        <w:rPr>
          <w:rFonts w:ascii="Times New Roman" w:hAnsi="Times New Roman" w:cs="Times New Roman"/>
          <w:sz w:val="24"/>
          <w:szCs w:val="24"/>
        </w:rPr>
        <w:t>, así como</w:t>
      </w:r>
      <w:r w:rsidR="00F81417" w:rsidRPr="006C42BE">
        <w:rPr>
          <w:rFonts w:ascii="Times New Roman" w:hAnsi="Times New Roman" w:cs="Times New Roman"/>
          <w:sz w:val="24"/>
          <w:szCs w:val="24"/>
        </w:rPr>
        <w:t xml:space="preserve"> en el funcionamiento institucional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fueron materia de un permanente estado de </w:t>
      </w:r>
      <w:r w:rsidR="00F81417" w:rsidRPr="006C42BE">
        <w:rPr>
          <w:rFonts w:ascii="Times New Roman" w:hAnsi="Times New Roman" w:cs="Times New Roman"/>
          <w:sz w:val="24"/>
          <w:szCs w:val="24"/>
        </w:rPr>
        <w:t>polémica</w:t>
      </w:r>
      <w:r w:rsidRPr="006C42BE">
        <w:rPr>
          <w:rFonts w:ascii="Times New Roman" w:hAnsi="Times New Roman" w:cs="Times New Roman"/>
          <w:sz w:val="24"/>
          <w:szCs w:val="24"/>
        </w:rPr>
        <w:t>.</w:t>
      </w:r>
    </w:p>
    <w:p w14:paraId="4877D37D" w14:textId="77777777" w:rsidR="00F81417" w:rsidRPr="006C42BE"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w:t>
      </w:r>
      <w:r w:rsidR="00F81417" w:rsidRPr="006C42BE">
        <w:rPr>
          <w:rFonts w:ascii="Times New Roman" w:hAnsi="Times New Roman" w:cs="Times New Roman"/>
          <w:sz w:val="24"/>
          <w:szCs w:val="24"/>
        </w:rPr>
        <w:t xml:space="preserve">l campo del bienestar y de la </w:t>
      </w:r>
      <w:r w:rsidRPr="006C42BE">
        <w:rPr>
          <w:rFonts w:ascii="Times New Roman" w:hAnsi="Times New Roman" w:cs="Times New Roman"/>
          <w:sz w:val="24"/>
          <w:szCs w:val="24"/>
        </w:rPr>
        <w:t>protección social fue uno de los más conmovido</w:t>
      </w:r>
      <w:r w:rsidR="00F81417" w:rsidRPr="006C42BE">
        <w:rPr>
          <w:rFonts w:ascii="Times New Roman" w:hAnsi="Times New Roman" w:cs="Times New Roman"/>
          <w:sz w:val="24"/>
          <w:szCs w:val="24"/>
        </w:rPr>
        <w:t>s, tanto por los cambios en sí como por los debates</w:t>
      </w:r>
      <w:r w:rsidR="00954648" w:rsidRPr="006C42BE">
        <w:rPr>
          <w:rFonts w:ascii="Times New Roman" w:hAnsi="Times New Roman" w:cs="Times New Roman"/>
          <w:sz w:val="24"/>
          <w:szCs w:val="24"/>
        </w:rPr>
        <w:t xml:space="preserve"> desarrollados</w:t>
      </w:r>
      <w:r w:rsidR="00F81417" w:rsidRPr="006C42BE">
        <w:rPr>
          <w:rFonts w:ascii="Times New Roman" w:hAnsi="Times New Roman" w:cs="Times New Roman"/>
          <w:sz w:val="24"/>
          <w:szCs w:val="24"/>
        </w:rPr>
        <w:t>. Aunq</w:t>
      </w:r>
      <w:r w:rsidR="001841A2" w:rsidRPr="006C42BE">
        <w:rPr>
          <w:rFonts w:ascii="Times New Roman" w:hAnsi="Times New Roman" w:cs="Times New Roman"/>
          <w:sz w:val="24"/>
          <w:szCs w:val="24"/>
        </w:rPr>
        <w:t xml:space="preserve">ue </w:t>
      </w:r>
      <w:r w:rsidR="001945BE" w:rsidRPr="006C42BE">
        <w:rPr>
          <w:rFonts w:ascii="Times New Roman" w:hAnsi="Times New Roman" w:cs="Times New Roman"/>
          <w:sz w:val="24"/>
          <w:szCs w:val="24"/>
        </w:rPr>
        <w:t>sus</w:t>
      </w:r>
      <w:r w:rsidR="001841A2" w:rsidRPr="006C42BE">
        <w:rPr>
          <w:rFonts w:ascii="Times New Roman" w:hAnsi="Times New Roman" w:cs="Times New Roman"/>
          <w:sz w:val="24"/>
          <w:szCs w:val="24"/>
        </w:rPr>
        <w:t xml:space="preserve"> resultados </w:t>
      </w:r>
      <w:r w:rsidR="001945BE" w:rsidRPr="006C42BE">
        <w:rPr>
          <w:rFonts w:ascii="Times New Roman" w:hAnsi="Times New Roman" w:cs="Times New Roman"/>
          <w:sz w:val="24"/>
          <w:szCs w:val="24"/>
        </w:rPr>
        <w:t xml:space="preserve">fueron </w:t>
      </w:r>
      <w:r w:rsidR="001841A2" w:rsidRPr="006C42BE">
        <w:rPr>
          <w:rFonts w:ascii="Times New Roman" w:hAnsi="Times New Roman" w:cs="Times New Roman"/>
          <w:sz w:val="24"/>
          <w:szCs w:val="24"/>
        </w:rPr>
        <w:t xml:space="preserve">disímiles, </w:t>
      </w:r>
      <w:r w:rsidR="001945BE" w:rsidRPr="006C42BE">
        <w:rPr>
          <w:rFonts w:ascii="Times New Roman" w:hAnsi="Times New Roman" w:cs="Times New Roman"/>
          <w:sz w:val="24"/>
          <w:szCs w:val="24"/>
        </w:rPr>
        <w:t xml:space="preserve">en </w:t>
      </w:r>
      <w:r w:rsidR="001841A2" w:rsidRPr="006C42BE">
        <w:rPr>
          <w:rFonts w:ascii="Times New Roman" w:hAnsi="Times New Roman" w:cs="Times New Roman"/>
          <w:sz w:val="24"/>
          <w:szCs w:val="24"/>
        </w:rPr>
        <w:t xml:space="preserve">todos los </w:t>
      </w:r>
      <w:r w:rsidR="00F81417" w:rsidRPr="006C42BE">
        <w:rPr>
          <w:rFonts w:ascii="Times New Roman" w:hAnsi="Times New Roman" w:cs="Times New Roman"/>
          <w:sz w:val="24"/>
          <w:szCs w:val="24"/>
        </w:rPr>
        <w:t>sectores</w:t>
      </w:r>
      <w:r w:rsidR="001945BE" w:rsidRPr="006C42BE">
        <w:rPr>
          <w:rFonts w:ascii="Times New Roman" w:hAnsi="Times New Roman" w:cs="Times New Roman"/>
          <w:sz w:val="24"/>
          <w:szCs w:val="24"/>
        </w:rPr>
        <w:t xml:space="preserve"> se registró un </w:t>
      </w:r>
      <w:commentRangeStart w:id="3"/>
      <w:r w:rsidR="001945BE" w:rsidRPr="006C42BE">
        <w:rPr>
          <w:rFonts w:ascii="Times New Roman" w:hAnsi="Times New Roman" w:cs="Times New Roman"/>
          <w:sz w:val="24"/>
          <w:szCs w:val="24"/>
        </w:rPr>
        <w:t xml:space="preserve">giro del lenguaje (en los </w:t>
      </w:r>
      <w:r w:rsidR="00F81417" w:rsidRPr="006C42BE">
        <w:rPr>
          <w:rFonts w:ascii="Times New Roman" w:hAnsi="Times New Roman" w:cs="Times New Roman"/>
          <w:sz w:val="24"/>
          <w:szCs w:val="24"/>
        </w:rPr>
        <w:t>modos de nombrar</w:t>
      </w:r>
      <w:r w:rsidR="001945BE" w:rsidRPr="006C42BE">
        <w:rPr>
          <w:rFonts w:ascii="Times New Roman" w:hAnsi="Times New Roman" w:cs="Times New Roman"/>
          <w:sz w:val="24"/>
          <w:szCs w:val="24"/>
        </w:rPr>
        <w:t xml:space="preserve">) </w:t>
      </w:r>
      <w:commentRangeEnd w:id="3"/>
      <w:r w:rsidR="00AC4FBF">
        <w:rPr>
          <w:rStyle w:val="Refdecomentario"/>
        </w:rPr>
        <w:commentReference w:id="3"/>
      </w:r>
      <w:r w:rsidR="001945BE" w:rsidRPr="006C42BE">
        <w:rPr>
          <w:rFonts w:ascii="Times New Roman" w:hAnsi="Times New Roman" w:cs="Times New Roman"/>
          <w:sz w:val="24"/>
          <w:szCs w:val="24"/>
        </w:rPr>
        <w:t>y en</w:t>
      </w:r>
      <w:r w:rsidR="00F81417" w:rsidRPr="006C42BE">
        <w:rPr>
          <w:rFonts w:ascii="Times New Roman" w:hAnsi="Times New Roman" w:cs="Times New Roman"/>
          <w:sz w:val="24"/>
          <w:szCs w:val="24"/>
        </w:rPr>
        <w:t xml:space="preserve"> las condiciones para el acceso a </w:t>
      </w:r>
      <w:r w:rsidR="00B24DDD" w:rsidRPr="006C42BE">
        <w:rPr>
          <w:rFonts w:ascii="Times New Roman" w:hAnsi="Times New Roman" w:cs="Times New Roman"/>
          <w:sz w:val="24"/>
          <w:szCs w:val="24"/>
        </w:rPr>
        <w:t>los beneficios</w:t>
      </w:r>
      <w:r w:rsidR="00954648" w:rsidRPr="006C42BE">
        <w:rPr>
          <w:rFonts w:ascii="Times New Roman" w:hAnsi="Times New Roman" w:cs="Times New Roman"/>
          <w:sz w:val="24"/>
          <w:szCs w:val="24"/>
        </w:rPr>
        <w:t>, en directa confrontación con las políticas de la década anterior</w:t>
      </w:r>
      <w:r w:rsidR="001945BE" w:rsidRPr="006C42BE">
        <w:rPr>
          <w:rFonts w:ascii="Times New Roman" w:hAnsi="Times New Roman" w:cs="Times New Roman"/>
          <w:sz w:val="24"/>
          <w:szCs w:val="24"/>
        </w:rPr>
        <w:t xml:space="preserve">. </w:t>
      </w:r>
      <w:r w:rsidR="00FE2D8E" w:rsidRPr="006C42BE">
        <w:rPr>
          <w:rFonts w:ascii="Times New Roman" w:hAnsi="Times New Roman" w:cs="Times New Roman"/>
          <w:sz w:val="24"/>
          <w:szCs w:val="24"/>
        </w:rPr>
        <w:t xml:space="preserve">Nuevos derechos fueron sometidos a discusión, </w:t>
      </w:r>
      <w:commentRangeStart w:id="4"/>
      <w:r w:rsidR="00FE2D8E" w:rsidRPr="006C42BE">
        <w:rPr>
          <w:rFonts w:ascii="Times New Roman" w:hAnsi="Times New Roman" w:cs="Times New Roman"/>
          <w:sz w:val="24"/>
          <w:szCs w:val="24"/>
        </w:rPr>
        <w:t xml:space="preserve">lo que en muchos casos </w:t>
      </w:r>
      <w:r w:rsidR="00B24DDD" w:rsidRPr="006C42BE">
        <w:rPr>
          <w:rFonts w:ascii="Times New Roman" w:hAnsi="Times New Roman" w:cs="Times New Roman"/>
          <w:sz w:val="24"/>
          <w:szCs w:val="24"/>
        </w:rPr>
        <w:t xml:space="preserve">acarreó un crecimiento del gasto </w:t>
      </w:r>
      <w:commentRangeEnd w:id="4"/>
      <w:r w:rsidR="00AC4FBF">
        <w:rPr>
          <w:rStyle w:val="Refdecomentario"/>
        </w:rPr>
        <w:commentReference w:id="4"/>
      </w:r>
      <w:r w:rsidR="00B24DDD" w:rsidRPr="006C42BE">
        <w:rPr>
          <w:rFonts w:ascii="Times New Roman" w:hAnsi="Times New Roman" w:cs="Times New Roman"/>
          <w:sz w:val="24"/>
          <w:szCs w:val="24"/>
        </w:rPr>
        <w:t xml:space="preserve">(especialmente social), que </w:t>
      </w:r>
      <w:r w:rsidR="00FE2D8E" w:rsidRPr="006C42BE">
        <w:rPr>
          <w:rFonts w:ascii="Times New Roman" w:hAnsi="Times New Roman" w:cs="Times New Roman"/>
          <w:sz w:val="24"/>
          <w:szCs w:val="24"/>
        </w:rPr>
        <w:t xml:space="preserve">a su vez </w:t>
      </w:r>
      <w:r w:rsidR="00B24DDD" w:rsidRPr="006C42BE">
        <w:rPr>
          <w:rFonts w:ascii="Times New Roman" w:hAnsi="Times New Roman" w:cs="Times New Roman"/>
          <w:sz w:val="24"/>
          <w:szCs w:val="24"/>
        </w:rPr>
        <w:t xml:space="preserve">motivó </w:t>
      </w:r>
      <w:r w:rsidR="00FE2D8E" w:rsidRPr="006C42BE">
        <w:rPr>
          <w:rFonts w:ascii="Times New Roman" w:hAnsi="Times New Roman" w:cs="Times New Roman"/>
          <w:sz w:val="24"/>
          <w:szCs w:val="24"/>
        </w:rPr>
        <w:t xml:space="preserve">nuevas </w:t>
      </w:r>
      <w:r w:rsidR="00B24DDD" w:rsidRPr="006C42BE">
        <w:rPr>
          <w:rFonts w:ascii="Times New Roman" w:hAnsi="Times New Roman" w:cs="Times New Roman"/>
          <w:sz w:val="24"/>
          <w:szCs w:val="24"/>
        </w:rPr>
        <w:t>discusiones</w:t>
      </w:r>
      <w:r w:rsidR="00FE2D8E" w:rsidRPr="006C42BE">
        <w:rPr>
          <w:rFonts w:ascii="Times New Roman" w:hAnsi="Times New Roman" w:cs="Times New Roman"/>
          <w:sz w:val="24"/>
          <w:szCs w:val="24"/>
        </w:rPr>
        <w:t>.</w:t>
      </w:r>
      <w:r w:rsidR="00B24DDD" w:rsidRPr="006C42BE">
        <w:rPr>
          <w:rFonts w:ascii="Times New Roman" w:hAnsi="Times New Roman" w:cs="Times New Roman"/>
          <w:sz w:val="24"/>
          <w:szCs w:val="24"/>
        </w:rPr>
        <w:t xml:space="preserve"> </w:t>
      </w:r>
    </w:p>
    <w:p w14:paraId="37F94731" w14:textId="77777777" w:rsidR="00F81417" w:rsidRPr="006C42BE" w:rsidRDefault="00FE2D8E"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rPr>
        <w:t>E</w:t>
      </w:r>
      <w:r w:rsidR="00954648" w:rsidRPr="006C42BE">
        <w:rPr>
          <w:rFonts w:ascii="Times New Roman" w:hAnsi="Times New Roman" w:cs="Times New Roman"/>
          <w:sz w:val="24"/>
          <w:szCs w:val="24"/>
        </w:rPr>
        <w:t xml:space="preserve">ste artículo tiene tres objetivos: (i) </w:t>
      </w:r>
      <w:r w:rsidR="00F81417" w:rsidRPr="006C42BE">
        <w:rPr>
          <w:rFonts w:ascii="Times New Roman" w:hAnsi="Times New Roman" w:cs="Times New Roman"/>
          <w:sz w:val="24"/>
          <w:szCs w:val="24"/>
          <w:lang w:val="es-ES"/>
        </w:rPr>
        <w:t xml:space="preserve">analizar el </w:t>
      </w:r>
      <w:r w:rsidR="00F81417" w:rsidRPr="00902F04">
        <w:rPr>
          <w:rFonts w:ascii="Times New Roman" w:hAnsi="Times New Roman" w:cs="Times New Roman"/>
          <w:sz w:val="24"/>
          <w:szCs w:val="24"/>
          <w:highlight w:val="yellow"/>
          <w:lang w:val="es-ES"/>
        </w:rPr>
        <w:t>proceso de reforma</w:t>
      </w:r>
      <w:r w:rsidR="00F81417" w:rsidRPr="006C42BE">
        <w:rPr>
          <w:rFonts w:ascii="Times New Roman" w:hAnsi="Times New Roman" w:cs="Times New Roman"/>
          <w:sz w:val="24"/>
          <w:szCs w:val="24"/>
          <w:lang w:val="es-ES"/>
        </w:rPr>
        <w:t xml:space="preserve"> atravesado por distintas políticas sociales argentinas durante el período 2001-2002 hasta 2015, </w:t>
      </w:r>
      <w:r w:rsidRPr="00902F04">
        <w:rPr>
          <w:rFonts w:ascii="Times New Roman" w:hAnsi="Times New Roman" w:cs="Times New Roman"/>
          <w:sz w:val="24"/>
          <w:szCs w:val="24"/>
          <w:highlight w:val="yellow"/>
          <w:lang w:val="es-ES"/>
        </w:rPr>
        <w:t>integra</w:t>
      </w:r>
      <w:r w:rsidR="00CD226B" w:rsidRPr="00902F04">
        <w:rPr>
          <w:rFonts w:ascii="Times New Roman" w:hAnsi="Times New Roman" w:cs="Times New Roman"/>
          <w:sz w:val="24"/>
          <w:szCs w:val="24"/>
          <w:highlight w:val="yellow"/>
          <w:lang w:val="es-ES"/>
        </w:rPr>
        <w:t>ndo</w:t>
      </w:r>
      <w:r w:rsidRPr="00902F04">
        <w:rPr>
          <w:rFonts w:ascii="Times New Roman" w:hAnsi="Times New Roman" w:cs="Times New Roman"/>
          <w:sz w:val="24"/>
          <w:szCs w:val="24"/>
          <w:highlight w:val="yellow"/>
          <w:lang w:val="es-ES"/>
        </w:rPr>
        <w:t xml:space="preserve"> el análisis de los fundamentos de las nuevas políticas y de los instrumentos de gestión</w:t>
      </w:r>
      <w:r w:rsidRPr="006C42BE">
        <w:rPr>
          <w:rFonts w:ascii="Times New Roman" w:hAnsi="Times New Roman" w:cs="Times New Roman"/>
          <w:sz w:val="24"/>
          <w:szCs w:val="24"/>
          <w:lang w:val="es-ES"/>
        </w:rPr>
        <w:t xml:space="preserve"> que las caracterizaron (de entre un grupo selecc</w:t>
      </w:r>
      <w:r w:rsidR="00954648" w:rsidRPr="006C42BE">
        <w:rPr>
          <w:rFonts w:ascii="Times New Roman" w:hAnsi="Times New Roman" w:cs="Times New Roman"/>
          <w:sz w:val="24"/>
          <w:szCs w:val="24"/>
          <w:lang w:val="es-ES"/>
        </w:rPr>
        <w:t xml:space="preserve">ionado por su mayor incidencia); </w:t>
      </w:r>
      <w:r w:rsidRPr="006C42BE">
        <w:rPr>
          <w:rFonts w:ascii="Times New Roman" w:hAnsi="Times New Roman" w:cs="Times New Roman"/>
          <w:sz w:val="24"/>
          <w:szCs w:val="24"/>
          <w:lang w:val="es-ES"/>
        </w:rPr>
        <w:t xml:space="preserve"> </w:t>
      </w:r>
      <w:r w:rsidR="00954648" w:rsidRPr="006C42BE">
        <w:rPr>
          <w:rFonts w:ascii="Times New Roman" w:hAnsi="Times New Roman" w:cs="Times New Roman"/>
          <w:sz w:val="24"/>
          <w:szCs w:val="24"/>
          <w:lang w:val="es-ES"/>
        </w:rPr>
        <w:t xml:space="preserve">(ii) </w:t>
      </w:r>
      <w:r w:rsidR="00F81417" w:rsidRPr="006C42BE">
        <w:rPr>
          <w:rFonts w:ascii="Times New Roman" w:hAnsi="Times New Roman" w:cs="Times New Roman"/>
          <w:sz w:val="24"/>
          <w:szCs w:val="24"/>
          <w:lang w:val="es-ES"/>
        </w:rPr>
        <w:t xml:space="preserve">poner </w:t>
      </w:r>
      <w:r w:rsidR="00CD226B" w:rsidRPr="006C42BE">
        <w:rPr>
          <w:rFonts w:ascii="Times New Roman" w:hAnsi="Times New Roman" w:cs="Times New Roman"/>
          <w:sz w:val="24"/>
          <w:szCs w:val="24"/>
          <w:lang w:val="es-ES"/>
        </w:rPr>
        <w:t xml:space="preserve">ese análisis </w:t>
      </w:r>
      <w:r w:rsidR="00F81417" w:rsidRPr="006C42BE">
        <w:rPr>
          <w:rFonts w:ascii="Times New Roman" w:hAnsi="Times New Roman" w:cs="Times New Roman"/>
          <w:sz w:val="24"/>
          <w:szCs w:val="24"/>
          <w:lang w:val="es-ES"/>
        </w:rPr>
        <w:t>en perspectiva histórica</w:t>
      </w:r>
      <w:r w:rsidR="00CD226B" w:rsidRPr="006C42BE">
        <w:rPr>
          <w:rFonts w:ascii="Times New Roman" w:hAnsi="Times New Roman" w:cs="Times New Roman"/>
          <w:sz w:val="24"/>
          <w:szCs w:val="24"/>
          <w:lang w:val="es-ES"/>
        </w:rPr>
        <w:t xml:space="preserve">, buscando puntos de tensión y de continuidad con </w:t>
      </w:r>
      <w:r w:rsidR="00CD226B" w:rsidRPr="00902F04">
        <w:rPr>
          <w:rFonts w:ascii="Times New Roman" w:hAnsi="Times New Roman" w:cs="Times New Roman"/>
          <w:sz w:val="24"/>
          <w:szCs w:val="24"/>
          <w:highlight w:val="yellow"/>
          <w:lang w:val="es-ES"/>
        </w:rPr>
        <w:t>las “tradiciones”</w:t>
      </w:r>
      <w:r w:rsidR="00F81417" w:rsidRPr="00902F04">
        <w:rPr>
          <w:rFonts w:ascii="Times New Roman" w:hAnsi="Times New Roman" w:cs="Times New Roman"/>
          <w:sz w:val="24"/>
          <w:szCs w:val="24"/>
          <w:highlight w:val="yellow"/>
          <w:lang w:val="es-ES"/>
        </w:rPr>
        <w:t xml:space="preserve"> </w:t>
      </w:r>
      <w:r w:rsidR="00CD226B" w:rsidRPr="00902F04">
        <w:rPr>
          <w:rFonts w:ascii="Times New Roman" w:hAnsi="Times New Roman" w:cs="Times New Roman"/>
          <w:sz w:val="24"/>
          <w:szCs w:val="24"/>
          <w:highlight w:val="yellow"/>
          <w:lang w:val="es-ES"/>
        </w:rPr>
        <w:t>arrastradas por esos mismos sectores de políticas</w:t>
      </w:r>
      <w:r w:rsidR="00B61DB0" w:rsidRPr="00902F04">
        <w:rPr>
          <w:rFonts w:ascii="Times New Roman" w:hAnsi="Times New Roman" w:cs="Times New Roman"/>
          <w:sz w:val="24"/>
          <w:szCs w:val="24"/>
          <w:highlight w:val="yellow"/>
          <w:lang w:val="es-ES"/>
        </w:rPr>
        <w:t>;</w:t>
      </w:r>
      <w:r w:rsidR="00B61DB0" w:rsidRPr="006C42BE">
        <w:rPr>
          <w:rFonts w:ascii="Times New Roman" w:hAnsi="Times New Roman" w:cs="Times New Roman"/>
          <w:sz w:val="24"/>
          <w:szCs w:val="24"/>
          <w:lang w:val="es-ES"/>
        </w:rPr>
        <w:t xml:space="preserve"> y (iii)</w:t>
      </w:r>
      <w:r w:rsidR="00CD226B" w:rsidRPr="006C42BE">
        <w:rPr>
          <w:rFonts w:ascii="Times New Roman" w:hAnsi="Times New Roman" w:cs="Times New Roman"/>
          <w:sz w:val="24"/>
          <w:szCs w:val="24"/>
          <w:lang w:val="es-ES"/>
        </w:rPr>
        <w:t xml:space="preserve"> rastrear </w:t>
      </w:r>
      <w:r w:rsidR="00F81417" w:rsidRPr="006C42BE">
        <w:rPr>
          <w:rFonts w:ascii="Times New Roman" w:hAnsi="Times New Roman" w:cs="Times New Roman"/>
          <w:sz w:val="24"/>
          <w:szCs w:val="24"/>
          <w:lang w:val="es-ES"/>
        </w:rPr>
        <w:t xml:space="preserve">tendencias y </w:t>
      </w:r>
      <w:r w:rsidR="00F81417" w:rsidRPr="002A6A38">
        <w:rPr>
          <w:rFonts w:ascii="Times New Roman" w:hAnsi="Times New Roman" w:cs="Times New Roman"/>
          <w:sz w:val="24"/>
          <w:szCs w:val="24"/>
          <w:highlight w:val="yellow"/>
          <w:lang w:val="es-ES"/>
        </w:rPr>
        <w:t xml:space="preserve">expectativas sociales </w:t>
      </w:r>
      <w:r w:rsidR="00CD226B" w:rsidRPr="002A6A38">
        <w:rPr>
          <w:rFonts w:ascii="Times New Roman" w:hAnsi="Times New Roman" w:cs="Times New Roman"/>
          <w:sz w:val="24"/>
          <w:szCs w:val="24"/>
          <w:highlight w:val="yellow"/>
          <w:lang w:val="es-ES"/>
        </w:rPr>
        <w:t>(</w:t>
      </w:r>
      <w:r w:rsidR="00CD226B" w:rsidRPr="002A6A38">
        <w:rPr>
          <w:rFonts w:ascii="Times New Roman" w:hAnsi="Times New Roman" w:cs="Times New Roman"/>
          <w:i/>
          <w:sz w:val="24"/>
          <w:szCs w:val="24"/>
          <w:highlight w:val="yellow"/>
          <w:lang w:val="es-ES"/>
        </w:rPr>
        <w:t>de la sociedad)</w:t>
      </w:r>
      <w:r w:rsidR="00C82834" w:rsidRPr="002A6A38">
        <w:rPr>
          <w:rFonts w:ascii="Times New Roman" w:hAnsi="Times New Roman" w:cs="Times New Roman"/>
          <w:i/>
          <w:sz w:val="24"/>
          <w:szCs w:val="24"/>
          <w:highlight w:val="yellow"/>
          <w:lang w:val="es-ES"/>
        </w:rPr>
        <w:t xml:space="preserve"> </w:t>
      </w:r>
      <w:r w:rsidR="00B61DB0" w:rsidRPr="002A6A38">
        <w:rPr>
          <w:rFonts w:ascii="Times New Roman" w:hAnsi="Times New Roman" w:cs="Times New Roman"/>
          <w:sz w:val="24"/>
          <w:szCs w:val="24"/>
          <w:highlight w:val="yellow"/>
          <w:lang w:val="es-ES"/>
        </w:rPr>
        <w:t>en este campo</w:t>
      </w:r>
      <w:r w:rsidR="00B61DB0" w:rsidRPr="002A6A38">
        <w:rPr>
          <w:rFonts w:ascii="Times New Roman" w:hAnsi="Times New Roman" w:cs="Times New Roman"/>
          <w:i/>
          <w:sz w:val="24"/>
          <w:szCs w:val="24"/>
          <w:highlight w:val="yellow"/>
          <w:lang w:val="es-ES"/>
        </w:rPr>
        <w:t xml:space="preserve">, </w:t>
      </w:r>
      <w:r w:rsidR="00B61DB0" w:rsidRPr="002A6A38">
        <w:rPr>
          <w:rFonts w:ascii="Times New Roman" w:hAnsi="Times New Roman" w:cs="Times New Roman"/>
          <w:sz w:val="24"/>
          <w:szCs w:val="24"/>
          <w:highlight w:val="yellow"/>
          <w:lang w:val="es-ES"/>
        </w:rPr>
        <w:t xml:space="preserve">lo que sentaría una nueva </w:t>
      </w:r>
      <w:r w:rsidR="00B61DB0" w:rsidRPr="002A6A38">
        <w:rPr>
          <w:rFonts w:ascii="Times New Roman" w:hAnsi="Times New Roman" w:cs="Times New Roman"/>
          <w:i/>
          <w:sz w:val="24"/>
          <w:szCs w:val="24"/>
          <w:highlight w:val="yellow"/>
          <w:lang w:val="es-ES"/>
        </w:rPr>
        <w:t>normalidad</w:t>
      </w:r>
      <w:r w:rsidR="00B61DB0" w:rsidRPr="002A6A38">
        <w:rPr>
          <w:rFonts w:ascii="Times New Roman" w:hAnsi="Times New Roman" w:cs="Times New Roman"/>
          <w:sz w:val="24"/>
          <w:szCs w:val="24"/>
          <w:highlight w:val="yellow"/>
          <w:lang w:val="es-ES"/>
        </w:rPr>
        <w:t>.</w:t>
      </w:r>
      <w:r w:rsidR="00F81417" w:rsidRPr="006C42BE">
        <w:rPr>
          <w:rFonts w:ascii="Times New Roman" w:hAnsi="Times New Roman" w:cs="Times New Roman"/>
          <w:sz w:val="24"/>
          <w:szCs w:val="24"/>
          <w:lang w:val="es-ES"/>
        </w:rPr>
        <w:t xml:space="preserve"> </w:t>
      </w:r>
    </w:p>
    <w:p w14:paraId="712CE20A" w14:textId="77777777" w:rsidR="00B54E07" w:rsidRPr="006C42BE" w:rsidRDefault="00B54E07"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El artículo sostiene que, en el campo de la política social, la abierta confrontación con los principios neoliberales que inspiró al gobierno asumido en 2003 se concretó en tres </w:t>
      </w:r>
      <w:r w:rsidRPr="006C42BE">
        <w:rPr>
          <w:rFonts w:ascii="Times New Roman" w:hAnsi="Times New Roman" w:cs="Times New Roman"/>
          <w:sz w:val="24"/>
          <w:szCs w:val="24"/>
          <w:lang w:val="es-ES"/>
        </w:rPr>
        <w:lastRenderedPageBreak/>
        <w:t xml:space="preserve">líneas de acción que contradecían la matriz de la reforma social de la década anterior, según la cual la protección social está destinada a grupos y sujetos “deficitarios”, que no se valen por sí mismos. Esas tres líneas fueron: ampliación de población cubierta; calidad y alcance satisfactorios de las prestaciones y una </w:t>
      </w:r>
      <w:r w:rsidRPr="002A6A38">
        <w:rPr>
          <w:rFonts w:ascii="Times New Roman" w:hAnsi="Times New Roman" w:cs="Times New Roman"/>
          <w:sz w:val="24"/>
          <w:szCs w:val="24"/>
          <w:highlight w:val="yellow"/>
          <w:lang w:val="es-ES"/>
        </w:rPr>
        <w:t>concepción favorable a los derechos sociales, aunque en este último punto lo que dominó fue el sincretismo (una confluencia de vertientes muy distintas que sumaban y disputaban, simultáneamente).</w:t>
      </w:r>
      <w:r w:rsidRPr="006C42BE">
        <w:rPr>
          <w:rFonts w:ascii="Times New Roman" w:hAnsi="Times New Roman" w:cs="Times New Roman"/>
          <w:sz w:val="24"/>
          <w:szCs w:val="24"/>
          <w:lang w:val="es-ES"/>
        </w:rPr>
        <w:t xml:space="preserve"> </w:t>
      </w:r>
    </w:p>
    <w:p w14:paraId="61E87F29" w14:textId="77777777" w:rsidR="00F05573" w:rsidRPr="006C42BE" w:rsidRDefault="00F05573"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Las tres líneas fortalecieron emblemas peronistas, signo partidario del gobierno, para los cuales los derechos sociales echaban raíces en los derechos laborales (la figura del trabajador asalariado formal) y asumían formas contributivas. Pero las condiciones de la disputa del período (la exacerbación de la puja distributiva, </w:t>
      </w:r>
      <w:commentRangeStart w:id="5"/>
      <w:r w:rsidRPr="002A6A38">
        <w:rPr>
          <w:rFonts w:ascii="Times New Roman" w:hAnsi="Times New Roman" w:cs="Times New Roman"/>
          <w:sz w:val="24"/>
          <w:szCs w:val="24"/>
          <w:highlight w:val="yellow"/>
          <w:lang w:val="es-ES"/>
        </w:rPr>
        <w:t>“la grieta” en lo sociopolítico</w:t>
      </w:r>
      <w:commentRangeEnd w:id="5"/>
      <w:r w:rsidR="002A6A38">
        <w:rPr>
          <w:rStyle w:val="Refdecomentario"/>
        </w:rPr>
        <w:commentReference w:id="5"/>
      </w:r>
      <w:r w:rsidRPr="002A6A38">
        <w:rPr>
          <w:rFonts w:ascii="Times New Roman" w:hAnsi="Times New Roman" w:cs="Times New Roman"/>
          <w:sz w:val="24"/>
          <w:szCs w:val="24"/>
          <w:highlight w:val="yellow"/>
          <w:lang w:val="es-ES"/>
        </w:rPr>
        <w:t>)</w:t>
      </w:r>
      <w:r w:rsidRPr="006C42BE">
        <w:rPr>
          <w:rFonts w:ascii="Times New Roman" w:hAnsi="Times New Roman" w:cs="Times New Roman"/>
          <w:sz w:val="24"/>
          <w:szCs w:val="24"/>
          <w:lang w:val="es-ES"/>
        </w:rPr>
        <w:t xml:space="preserve"> empujaron a una radicalización de las políticas y de los términos del debate</w:t>
      </w:r>
      <w:r w:rsidRPr="002A6A38">
        <w:rPr>
          <w:rFonts w:ascii="Times New Roman" w:hAnsi="Times New Roman" w:cs="Times New Roman"/>
          <w:sz w:val="24"/>
          <w:szCs w:val="24"/>
          <w:highlight w:val="yellow"/>
          <w:lang w:val="es-ES"/>
        </w:rPr>
        <w:t xml:space="preserve">. Como resultado, la tradición fue desbordada, y se vio al gobierno peronista haciendo suya una “agenda social” que se ampliaba políticamente, rebasando la propia doctrina, lo que generó dos efectos: la protección social alcanzó la máxima extensión conocida hasta entonces, por la incorporación de sectores sociales en los bordes de la exclusión; mientras los segmentos más formalizados y establecidos de las clases trabajadoras se vieron a sí mismos recibiendo comparativamente menos atención, en simultáneo con una mayor presión fiscal </w:t>
      </w:r>
      <w:r w:rsidRPr="002A6A38">
        <w:rPr>
          <w:rStyle w:val="Refdenotaalpie"/>
          <w:rFonts w:ascii="Times New Roman" w:hAnsi="Times New Roman" w:cs="Times New Roman"/>
          <w:sz w:val="24"/>
          <w:szCs w:val="24"/>
          <w:highlight w:val="yellow"/>
          <w:lang w:val="es-ES"/>
        </w:rPr>
        <w:footnoteReference w:id="2"/>
      </w:r>
      <w:r w:rsidRPr="002A6A38">
        <w:rPr>
          <w:rFonts w:ascii="Times New Roman" w:hAnsi="Times New Roman" w:cs="Times New Roman"/>
          <w:sz w:val="24"/>
          <w:szCs w:val="24"/>
          <w:highlight w:val="yellow"/>
          <w:lang w:val="es-ES"/>
        </w:rPr>
        <w:t>. Esa brecha no fue cerrada y formó parte de una crisis de legitimidad cuyo destino fue incierto. Durante el proceso distintas políticas sectoriales describieron  diferentes itinerarios; intentaremos captar algunos de ellos.</w:t>
      </w:r>
    </w:p>
    <w:p w14:paraId="2F632688" w14:textId="77777777" w:rsidR="00A44729" w:rsidRPr="006C42BE" w:rsidRDefault="00A44729"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Los objetivos analíticos organizan el texto: en el punto 1 caracterizamos el proceso como de “contra-reforma </w:t>
      </w:r>
      <w:commentRangeStart w:id="6"/>
      <w:r w:rsidRPr="006C42BE">
        <w:rPr>
          <w:rFonts w:ascii="Times New Roman" w:hAnsi="Times New Roman" w:cs="Times New Roman"/>
          <w:sz w:val="24"/>
          <w:szCs w:val="24"/>
          <w:lang w:val="es-ES"/>
        </w:rPr>
        <w:t>neoliberal</w:t>
      </w:r>
      <w:commentRangeEnd w:id="6"/>
      <w:r w:rsidR="004C41F2">
        <w:rPr>
          <w:rStyle w:val="Refdecomentario"/>
        </w:rPr>
        <w:commentReference w:id="6"/>
      </w:r>
      <w:r w:rsidRPr="006C42BE">
        <w:rPr>
          <w:rFonts w:ascii="Times New Roman" w:hAnsi="Times New Roman" w:cs="Times New Roman"/>
          <w:sz w:val="24"/>
          <w:szCs w:val="24"/>
          <w:lang w:val="es-ES"/>
        </w:rPr>
        <w:t xml:space="preserve">”,  presentando una comparación general de las políticas sectoriales seleccionadas (líneas de intervención expresivas del proceso). A </w:t>
      </w:r>
      <w:r w:rsidRPr="006C42BE">
        <w:rPr>
          <w:rFonts w:ascii="Times New Roman" w:hAnsi="Times New Roman" w:cs="Times New Roman"/>
          <w:sz w:val="24"/>
          <w:szCs w:val="24"/>
          <w:lang w:val="es-ES"/>
        </w:rPr>
        <w:lastRenderedPageBreak/>
        <w:t xml:space="preserve">continuación recreamos la comparación diacrónicamente, contrastando el modelo de intervención 2001-2015 </w:t>
      </w:r>
      <w:commentRangeStart w:id="7"/>
      <w:r w:rsidRPr="004C41F2">
        <w:rPr>
          <w:rFonts w:ascii="Times New Roman" w:hAnsi="Times New Roman" w:cs="Times New Roman"/>
          <w:sz w:val="24"/>
          <w:szCs w:val="24"/>
          <w:highlight w:val="yellow"/>
          <w:lang w:val="es-ES"/>
        </w:rPr>
        <w:t>con el vigente con anterioridad al ciclo neoliberal</w:t>
      </w:r>
      <w:commentRangeEnd w:id="7"/>
      <w:r w:rsidR="00696584">
        <w:rPr>
          <w:rStyle w:val="Refdecomentario"/>
        </w:rPr>
        <w:commentReference w:id="7"/>
      </w:r>
      <w:r w:rsidRPr="006C42BE">
        <w:rPr>
          <w:rFonts w:ascii="Times New Roman" w:hAnsi="Times New Roman" w:cs="Times New Roman"/>
          <w:sz w:val="24"/>
          <w:szCs w:val="24"/>
          <w:lang w:val="es-ES"/>
        </w:rPr>
        <w:t xml:space="preserve">. Finalmente, en el punto 3 proyectamos el sistema de bienestar y protección analizado, rastreando la aceptación o el rechazo social de la que ha sido objeto. </w:t>
      </w:r>
    </w:p>
    <w:p w14:paraId="09C9F2B2" w14:textId="77777777" w:rsidR="00F81417" w:rsidRPr="006C42BE" w:rsidRDefault="00F81417" w:rsidP="001E4181">
      <w:pPr>
        <w:rPr>
          <w:rFonts w:ascii="Times New Roman" w:hAnsi="Times New Roman" w:cs="Times New Roman"/>
          <w:b/>
          <w:sz w:val="24"/>
          <w:szCs w:val="24"/>
          <w:lang w:val="es-ES"/>
        </w:rPr>
      </w:pPr>
    </w:p>
    <w:p w14:paraId="23704E7D" w14:textId="77777777"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 2003-2015: las formas de la contra-reforma</w:t>
      </w:r>
    </w:p>
    <w:p w14:paraId="267FD140" w14:textId="77777777"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1.1 El universo conceptual</w:t>
      </w:r>
      <w:r w:rsidR="00C23BED" w:rsidRPr="006C42BE">
        <w:rPr>
          <w:rFonts w:ascii="Times New Roman" w:hAnsi="Times New Roman" w:cs="Times New Roman"/>
          <w:b/>
          <w:sz w:val="24"/>
          <w:szCs w:val="24"/>
        </w:rPr>
        <w:t xml:space="preserve"> y metodológico</w:t>
      </w:r>
    </w:p>
    <w:p w14:paraId="108B54CD" w14:textId="77777777" w:rsidR="00F81417" w:rsidRPr="006C42BE" w:rsidRDefault="00A44729" w:rsidP="001E4181">
      <w:pPr>
        <w:spacing w:line="480" w:lineRule="auto"/>
        <w:rPr>
          <w:rFonts w:ascii="Times New Roman" w:hAnsi="Times New Roman" w:cs="Times New Roman"/>
          <w:sz w:val="24"/>
          <w:szCs w:val="24"/>
        </w:rPr>
      </w:pPr>
      <w:commentRangeStart w:id="8"/>
      <w:r w:rsidRPr="006C42BE">
        <w:rPr>
          <w:rFonts w:ascii="Times New Roman" w:hAnsi="Times New Roman" w:cs="Times New Roman"/>
          <w:sz w:val="24"/>
          <w:szCs w:val="24"/>
        </w:rPr>
        <w:t xml:space="preserve">Por su difusión y profundidad, la crisis socio-política que afectó a la Argentina a inicios del siglo XXI fue la más grave de su historia. Referencia doblemente importante, en lo descriptivo y porque su superación </w:t>
      </w:r>
      <w:r w:rsidR="00B958ED" w:rsidRPr="006C42BE">
        <w:rPr>
          <w:rFonts w:ascii="Times New Roman" w:hAnsi="Times New Roman" w:cs="Times New Roman"/>
          <w:sz w:val="24"/>
          <w:szCs w:val="24"/>
        </w:rPr>
        <w:t>implicó</w:t>
      </w:r>
      <w:r w:rsidR="00F81417" w:rsidRPr="006C42BE">
        <w:rPr>
          <w:rFonts w:ascii="Times New Roman" w:hAnsi="Times New Roman" w:cs="Times New Roman"/>
          <w:sz w:val="24"/>
          <w:szCs w:val="24"/>
        </w:rPr>
        <w:t xml:space="preserve"> una recomposición de objetivos, valores y normas </w:t>
      </w:r>
      <w:r w:rsidR="00B958ED" w:rsidRPr="006C42BE">
        <w:rPr>
          <w:rFonts w:ascii="Times New Roman" w:hAnsi="Times New Roman" w:cs="Times New Roman"/>
          <w:sz w:val="24"/>
          <w:szCs w:val="24"/>
        </w:rPr>
        <w:t>con la que se pretendió</w:t>
      </w:r>
      <w:r w:rsidR="00F81417" w:rsidRPr="006C42BE">
        <w:rPr>
          <w:rFonts w:ascii="Times New Roman" w:hAnsi="Times New Roman" w:cs="Times New Roman"/>
          <w:sz w:val="24"/>
          <w:szCs w:val="24"/>
        </w:rPr>
        <w:t xml:space="preserve"> desandar la intervención estatal de la década anterior.</w:t>
      </w:r>
      <w:commentRangeEnd w:id="8"/>
      <w:r w:rsidR="00056064">
        <w:rPr>
          <w:rStyle w:val="Refdecomentario"/>
        </w:rPr>
        <w:commentReference w:id="8"/>
      </w:r>
    </w:p>
    <w:p w14:paraId="4C40FA10" w14:textId="77777777" w:rsidR="00F81417" w:rsidRPr="006C42BE" w:rsidRDefault="00B958ED"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En efecto, proponemos analizar los cambios desde entonces </w:t>
      </w:r>
      <w:r w:rsidR="00F81417" w:rsidRPr="006C42BE">
        <w:rPr>
          <w:rFonts w:ascii="Times New Roman" w:hAnsi="Times New Roman" w:cs="Times New Roman"/>
          <w:sz w:val="24"/>
          <w:szCs w:val="24"/>
        </w:rPr>
        <w:t>en clave de “contra-reforma neoliberal de las política sociales y laborales”, aludi</w:t>
      </w:r>
      <w:r w:rsidRPr="006C42BE">
        <w:rPr>
          <w:rFonts w:ascii="Times New Roman" w:hAnsi="Times New Roman" w:cs="Times New Roman"/>
          <w:sz w:val="24"/>
          <w:szCs w:val="24"/>
        </w:rPr>
        <w:t xml:space="preserve">endo así </w:t>
      </w:r>
      <w:r w:rsidR="00F81417" w:rsidRPr="006C42BE">
        <w:rPr>
          <w:rFonts w:ascii="Times New Roman" w:hAnsi="Times New Roman" w:cs="Times New Roman"/>
          <w:sz w:val="24"/>
          <w:szCs w:val="24"/>
        </w:rPr>
        <w:t xml:space="preserve">a un proceso de dos características: </w:t>
      </w:r>
    </w:p>
    <w:p w14:paraId="73C61D7D"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en </w:t>
      </w:r>
      <w:r w:rsidRPr="006C42BE">
        <w:rPr>
          <w:rFonts w:ascii="Times New Roman" w:hAnsi="Times New Roman" w:cs="Times New Roman"/>
          <w:i/>
          <w:sz w:val="24"/>
          <w:szCs w:val="24"/>
        </w:rPr>
        <w:t xml:space="preserve">la dimensión inmediatamente material </w:t>
      </w:r>
      <w:r w:rsidRPr="006C42BE">
        <w:rPr>
          <w:rFonts w:ascii="Times New Roman" w:hAnsi="Times New Roman" w:cs="Times New Roman"/>
          <w:sz w:val="24"/>
          <w:szCs w:val="24"/>
        </w:rPr>
        <w:t>(instituciones y acciones/omis</w:t>
      </w:r>
      <w:r w:rsidR="008F0770" w:rsidRPr="006C42BE">
        <w:rPr>
          <w:rFonts w:ascii="Times New Roman" w:hAnsi="Times New Roman" w:cs="Times New Roman"/>
          <w:sz w:val="24"/>
          <w:szCs w:val="24"/>
        </w:rPr>
        <w:t>iones directamente observables) las políticas</w:t>
      </w:r>
      <w:r w:rsidRPr="006C42BE">
        <w:rPr>
          <w:rFonts w:ascii="Times New Roman" w:hAnsi="Times New Roman" w:cs="Times New Roman"/>
          <w:sz w:val="24"/>
          <w:szCs w:val="24"/>
        </w:rPr>
        <w:t xml:space="preserve"> primero detuvieron, y luego invirtieron, la </w:t>
      </w:r>
      <w:r w:rsidR="00B958ED" w:rsidRPr="006C42BE">
        <w:rPr>
          <w:rFonts w:ascii="Times New Roman" w:hAnsi="Times New Roman" w:cs="Times New Roman"/>
          <w:sz w:val="24"/>
          <w:szCs w:val="24"/>
        </w:rPr>
        <w:t xml:space="preserve">orientación del período anterior (vg, </w:t>
      </w:r>
      <w:r w:rsidRPr="006C42BE">
        <w:rPr>
          <w:rFonts w:ascii="Times New Roman" w:hAnsi="Times New Roman" w:cs="Times New Roman"/>
          <w:sz w:val="24"/>
          <w:szCs w:val="24"/>
        </w:rPr>
        <w:t>primero se detuvo la pérdida de cobertura horizontal y vertical que había caracterizado a esa década</w:t>
      </w:r>
      <w:r w:rsidR="008F0770" w:rsidRPr="006C42BE">
        <w:rPr>
          <w:rFonts w:ascii="Times New Roman" w:hAnsi="Times New Roman" w:cs="Times New Roman"/>
          <w:sz w:val="24"/>
          <w:szCs w:val="24"/>
        </w:rPr>
        <w:t>, iniciándose</w:t>
      </w:r>
      <w:r w:rsidRPr="006C42BE">
        <w:rPr>
          <w:rFonts w:ascii="Times New Roman" w:hAnsi="Times New Roman" w:cs="Times New Roman"/>
          <w:sz w:val="24"/>
          <w:szCs w:val="24"/>
        </w:rPr>
        <w:t xml:space="preserve"> a continuación una curva ascendente de ritmo variable</w:t>
      </w:r>
      <w:r w:rsidR="0091201B">
        <w:rPr>
          <w:rFonts w:ascii="Times New Roman" w:hAnsi="Times New Roman" w:cs="Times New Roman"/>
          <w:sz w:val="24"/>
          <w:szCs w:val="24"/>
        </w:rPr>
        <w:t>)</w:t>
      </w:r>
      <w:r w:rsidRPr="006C42BE">
        <w:rPr>
          <w:rFonts w:ascii="Times New Roman" w:hAnsi="Times New Roman" w:cs="Times New Roman"/>
          <w:sz w:val="24"/>
          <w:szCs w:val="24"/>
        </w:rPr>
        <w:t>; y</w:t>
      </w:r>
    </w:p>
    <w:p w14:paraId="126630E9"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b) </w:t>
      </w:r>
      <w:r w:rsidR="00B958ED" w:rsidRPr="006C42BE">
        <w:rPr>
          <w:rFonts w:ascii="Times New Roman" w:hAnsi="Times New Roman" w:cs="Times New Roman"/>
          <w:sz w:val="24"/>
          <w:szCs w:val="24"/>
        </w:rPr>
        <w:t xml:space="preserve">en </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lo político-cultural</w:t>
      </w:r>
      <w:r w:rsidRPr="006C42BE">
        <w:rPr>
          <w:rFonts w:ascii="Times New Roman" w:hAnsi="Times New Roman" w:cs="Times New Roman"/>
          <w:sz w:val="24"/>
          <w:szCs w:val="24"/>
        </w:rPr>
        <w:t xml:space="preserve">, </w:t>
      </w:r>
      <w:r w:rsidR="00B958ED" w:rsidRPr="006C42BE">
        <w:rPr>
          <w:rFonts w:ascii="Times New Roman" w:hAnsi="Times New Roman" w:cs="Times New Roman"/>
          <w:sz w:val="24"/>
          <w:szCs w:val="24"/>
        </w:rPr>
        <w:t xml:space="preserve">las políticas compartieron </w:t>
      </w:r>
      <w:r w:rsidRPr="006C42BE">
        <w:rPr>
          <w:rFonts w:ascii="Times New Roman" w:hAnsi="Times New Roman" w:cs="Times New Roman"/>
          <w:sz w:val="24"/>
          <w:szCs w:val="24"/>
        </w:rPr>
        <w:t>una crítica radic</w:t>
      </w:r>
      <w:r w:rsidR="00B958ED" w:rsidRPr="006C42BE">
        <w:rPr>
          <w:rFonts w:ascii="Times New Roman" w:hAnsi="Times New Roman" w:cs="Times New Roman"/>
          <w:sz w:val="24"/>
          <w:szCs w:val="24"/>
        </w:rPr>
        <w:t xml:space="preserve">al a las políticas neoliberales, </w:t>
      </w:r>
      <w:r w:rsidR="008F0770" w:rsidRPr="006C42BE">
        <w:rPr>
          <w:rFonts w:ascii="Times New Roman" w:hAnsi="Times New Roman" w:cs="Times New Roman"/>
          <w:sz w:val="24"/>
          <w:szCs w:val="24"/>
        </w:rPr>
        <w:t xml:space="preserve">crítica </w:t>
      </w:r>
      <w:r w:rsidR="00B958ED" w:rsidRPr="006C42BE">
        <w:rPr>
          <w:rFonts w:ascii="Times New Roman" w:hAnsi="Times New Roman" w:cs="Times New Roman"/>
          <w:sz w:val="24"/>
          <w:szCs w:val="24"/>
        </w:rPr>
        <w:t xml:space="preserve">en la cual </w:t>
      </w:r>
      <w:r w:rsidRPr="006C42BE">
        <w:rPr>
          <w:rFonts w:ascii="Times New Roman" w:hAnsi="Times New Roman" w:cs="Times New Roman"/>
          <w:sz w:val="24"/>
          <w:szCs w:val="24"/>
        </w:rPr>
        <w:t>pretendieron fundar su legitimidad</w:t>
      </w:r>
      <w:r w:rsidR="00B958ED" w:rsidRPr="006C42BE">
        <w:rPr>
          <w:rFonts w:ascii="Times New Roman" w:hAnsi="Times New Roman" w:cs="Times New Roman"/>
          <w:sz w:val="24"/>
          <w:szCs w:val="24"/>
        </w:rPr>
        <w:t>.</w:t>
      </w:r>
    </w:p>
    <w:p w14:paraId="756F0EB7"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lastRenderedPageBreak/>
        <w:t xml:space="preserve">Obsérvese que </w:t>
      </w:r>
      <w:r w:rsidR="007E6453" w:rsidRPr="006C42BE">
        <w:rPr>
          <w:rFonts w:ascii="Times New Roman" w:hAnsi="Times New Roman" w:cs="Times New Roman"/>
          <w:sz w:val="24"/>
          <w:szCs w:val="24"/>
        </w:rPr>
        <w:t>el concepto</w:t>
      </w:r>
      <w:r w:rsidRPr="006C42BE">
        <w:rPr>
          <w:rFonts w:ascii="Times New Roman" w:hAnsi="Times New Roman" w:cs="Times New Roman"/>
          <w:sz w:val="24"/>
          <w:szCs w:val="24"/>
        </w:rPr>
        <w:t xml:space="preserve"> de contra-reforma incluye</w:t>
      </w:r>
      <w:r w:rsidR="007E6453" w:rsidRPr="006C42BE">
        <w:rPr>
          <w:rFonts w:ascii="Times New Roman" w:hAnsi="Times New Roman" w:cs="Times New Roman"/>
          <w:sz w:val="24"/>
          <w:szCs w:val="24"/>
        </w:rPr>
        <w:t xml:space="preserve"> ambas dimensiones; no se trata de </w:t>
      </w:r>
      <w:r w:rsidRPr="006C42BE">
        <w:rPr>
          <w:rFonts w:ascii="Times New Roman" w:hAnsi="Times New Roman" w:cs="Times New Roman"/>
          <w:sz w:val="24"/>
          <w:szCs w:val="24"/>
        </w:rPr>
        <w:t xml:space="preserve">un proceso </w:t>
      </w:r>
      <w:r w:rsidR="007E6453" w:rsidRPr="006C42BE">
        <w:rPr>
          <w:rFonts w:ascii="Times New Roman" w:hAnsi="Times New Roman" w:cs="Times New Roman"/>
          <w:sz w:val="24"/>
          <w:szCs w:val="24"/>
        </w:rPr>
        <w:t xml:space="preserve">“correctivo” o parcial, o  </w:t>
      </w:r>
      <w:r w:rsidRPr="006C42BE">
        <w:rPr>
          <w:rFonts w:ascii="Times New Roman" w:hAnsi="Times New Roman" w:cs="Times New Roman"/>
          <w:sz w:val="24"/>
          <w:szCs w:val="24"/>
        </w:rPr>
        <w:t xml:space="preserve">de </w:t>
      </w:r>
      <w:r w:rsidR="007E6453" w:rsidRPr="006C42BE">
        <w:rPr>
          <w:rFonts w:ascii="Times New Roman" w:hAnsi="Times New Roman" w:cs="Times New Roman"/>
          <w:sz w:val="24"/>
          <w:szCs w:val="24"/>
        </w:rPr>
        <w:t xml:space="preserve">una controversia (sólo) retórica, sino de una confrontación que tiene pretensiones de totalidad y </w:t>
      </w:r>
      <w:commentRangeStart w:id="9"/>
      <w:r w:rsidR="007E6453" w:rsidRPr="006C42BE">
        <w:rPr>
          <w:rFonts w:ascii="Times New Roman" w:hAnsi="Times New Roman" w:cs="Times New Roman"/>
          <w:sz w:val="24"/>
          <w:szCs w:val="24"/>
        </w:rPr>
        <w:t xml:space="preserve">de cierta re-fundación. </w:t>
      </w:r>
      <w:commentRangeEnd w:id="9"/>
      <w:r w:rsidR="00696584">
        <w:rPr>
          <w:rStyle w:val="Refdecomentario"/>
        </w:rPr>
        <w:commentReference w:id="9"/>
      </w:r>
    </w:p>
    <w:p w14:paraId="40948BE6" w14:textId="77777777" w:rsidR="00DD666F" w:rsidRPr="006C42BE" w:rsidRDefault="00DD666F"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concepto permite explorar </w:t>
      </w:r>
      <w:commentRangeStart w:id="10"/>
      <w:r w:rsidRPr="006C42BE">
        <w:rPr>
          <w:rFonts w:ascii="Times New Roman" w:hAnsi="Times New Roman" w:cs="Times New Roman"/>
          <w:sz w:val="24"/>
          <w:szCs w:val="24"/>
        </w:rPr>
        <w:t xml:space="preserve">el curso de algunos “gobiernos progresistas” latinoamericanos en la primera década y media del siglo XXI (Luna y Filgueira, 2009), precisamente cuando ese ciclo ha entrado en un cono de reversión; es decir, cuando se registran giros radicales en cuanto a las “creencias, intereses y concepciones del mundo” que sostienen nuevos gobiernos triunfantes, según la definición de “proyecto político” de Dagnino, Olvera y Panfichi (2006). </w:t>
      </w:r>
      <w:commentRangeEnd w:id="10"/>
      <w:r w:rsidR="00696584">
        <w:rPr>
          <w:rStyle w:val="Refdecomentario"/>
        </w:rPr>
        <w:commentReference w:id="10"/>
      </w:r>
      <w:r w:rsidRPr="006C42BE">
        <w:rPr>
          <w:rFonts w:ascii="Times New Roman" w:hAnsi="Times New Roman" w:cs="Times New Roman"/>
          <w:sz w:val="24"/>
          <w:szCs w:val="24"/>
        </w:rPr>
        <w:t>Según creemos, una contribución conceptual que ayuda a entender el peculiar itinerario de la protección social en Argentina en el período recortado.</w:t>
      </w:r>
    </w:p>
    <w:p w14:paraId="1DC7D57E" w14:textId="77777777" w:rsidR="00F81417" w:rsidRPr="006C42BE" w:rsidRDefault="00F81417" w:rsidP="001E4181">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1.2 “Hechos” y “datos”</w:t>
      </w:r>
    </w:p>
    <w:p w14:paraId="1655FB92"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inicios del nuevo siglo, los datos referidos a la protección social y </w:t>
      </w:r>
      <w:r w:rsidR="007103B5" w:rsidRPr="006C42BE">
        <w:rPr>
          <w:rFonts w:ascii="Times New Roman" w:hAnsi="Times New Roman" w:cs="Times New Roman"/>
          <w:sz w:val="24"/>
          <w:szCs w:val="24"/>
        </w:rPr>
        <w:t>a</w:t>
      </w:r>
      <w:r w:rsidRPr="006C42BE">
        <w:rPr>
          <w:rFonts w:ascii="Times New Roman" w:hAnsi="Times New Roman" w:cs="Times New Roman"/>
          <w:sz w:val="24"/>
          <w:szCs w:val="24"/>
        </w:rPr>
        <w:t xml:space="preserve"> las condiciones de vida de distintos segmentos de la población </w:t>
      </w:r>
      <w:r w:rsidR="007103B5" w:rsidRPr="006C42BE">
        <w:rPr>
          <w:rFonts w:ascii="Times New Roman" w:hAnsi="Times New Roman" w:cs="Times New Roman"/>
          <w:sz w:val="24"/>
          <w:szCs w:val="24"/>
        </w:rPr>
        <w:t>justificaban</w:t>
      </w:r>
      <w:r w:rsidRPr="006C42BE">
        <w:rPr>
          <w:rFonts w:ascii="Times New Roman" w:hAnsi="Times New Roman" w:cs="Times New Roman"/>
          <w:sz w:val="24"/>
          <w:szCs w:val="24"/>
        </w:rPr>
        <w:t xml:space="preserve"> la visión de una crisis que amenazaba elementales normas de sociabilidad y convivencia </w:t>
      </w:r>
      <w:commentRangeStart w:id="11"/>
      <w:r w:rsidRPr="006C42BE">
        <w:rPr>
          <w:rFonts w:ascii="Times New Roman" w:hAnsi="Times New Roman" w:cs="Times New Roman"/>
          <w:sz w:val="24"/>
          <w:szCs w:val="24"/>
        </w:rPr>
        <w:t>“moderna” (</w:t>
      </w:r>
      <w:r w:rsidRPr="006C42BE">
        <w:rPr>
          <w:rFonts w:ascii="Times New Roman" w:hAnsi="Times New Roman" w:cs="Times New Roman"/>
          <w:i/>
          <w:sz w:val="24"/>
          <w:szCs w:val="24"/>
        </w:rPr>
        <w:t>y en paz</w:t>
      </w:r>
      <w:r w:rsidRPr="006C42BE">
        <w:rPr>
          <w:rFonts w:ascii="Times New Roman" w:hAnsi="Times New Roman" w:cs="Times New Roman"/>
          <w:sz w:val="24"/>
          <w:szCs w:val="24"/>
        </w:rPr>
        <w:t>)</w:t>
      </w:r>
      <w:commentRangeEnd w:id="11"/>
      <w:r w:rsidR="00A3776A">
        <w:rPr>
          <w:rStyle w:val="Refdecomentario"/>
        </w:rPr>
        <w:commentReference w:id="11"/>
      </w:r>
      <w:r w:rsidRPr="006C42BE">
        <w:rPr>
          <w:rFonts w:ascii="Times New Roman" w:hAnsi="Times New Roman" w:cs="Times New Roman"/>
          <w:sz w:val="24"/>
          <w:szCs w:val="24"/>
        </w:rPr>
        <w:t xml:space="preserve">. </w:t>
      </w:r>
      <w:r w:rsidR="007103B5" w:rsidRPr="006C42BE">
        <w:rPr>
          <w:rFonts w:ascii="Times New Roman" w:hAnsi="Times New Roman" w:cs="Times New Roman"/>
          <w:sz w:val="24"/>
          <w:szCs w:val="24"/>
        </w:rPr>
        <w:t>Al enfocar</w:t>
      </w:r>
      <w:r w:rsidRPr="006C42BE">
        <w:rPr>
          <w:rFonts w:ascii="Times New Roman" w:hAnsi="Times New Roman" w:cs="Times New Roman"/>
          <w:sz w:val="24"/>
          <w:szCs w:val="24"/>
        </w:rPr>
        <w:t xml:space="preserve"> la cuestión de la generación de ingresos de los hogares, se encuentra que en el año 2000 </w:t>
      </w:r>
      <w:r w:rsidRPr="006C42BE">
        <w:rPr>
          <w:rStyle w:val="Refdenotaalpie"/>
          <w:rFonts w:ascii="Times New Roman" w:hAnsi="Times New Roman" w:cs="Times New Roman"/>
          <w:sz w:val="24"/>
          <w:szCs w:val="24"/>
        </w:rPr>
        <w:footnoteReference w:id="3"/>
      </w:r>
      <w:r w:rsidRPr="006C42BE">
        <w:rPr>
          <w:rFonts w:ascii="Times New Roman" w:hAnsi="Times New Roman" w:cs="Times New Roman"/>
          <w:sz w:val="24"/>
          <w:szCs w:val="24"/>
        </w:rPr>
        <w:t xml:space="preserve"> sólo el 39 % de la PEA y el 48 % de la población ocupada aportaba al sistema </w:t>
      </w:r>
      <w:r w:rsidRPr="006C42BE">
        <w:rPr>
          <w:rFonts w:ascii="Times New Roman" w:hAnsi="Times New Roman" w:cs="Times New Roman"/>
          <w:sz w:val="24"/>
          <w:szCs w:val="24"/>
        </w:rPr>
        <w:lastRenderedPageBreak/>
        <w:t>jubilatorio, por lo que razonablemente puede decirse que solo esa parte minoritaria de la población contaba con un empleo e ingresos regulares, y que sus complementos (61 % de la PEA y 52 % de los ocupados) hablan de la precariedad de las ocupaciones, cuando las había (</w:t>
      </w:r>
      <w:r w:rsidR="007103B5" w:rsidRPr="006C42BE">
        <w:rPr>
          <w:rFonts w:ascii="Times New Roman" w:hAnsi="Times New Roman" w:cs="Times New Roman"/>
          <w:sz w:val="24"/>
          <w:szCs w:val="24"/>
        </w:rPr>
        <w:t>incluso</w:t>
      </w:r>
      <w:r w:rsidRPr="006C42BE">
        <w:rPr>
          <w:rFonts w:ascii="Times New Roman" w:hAnsi="Times New Roman" w:cs="Times New Roman"/>
          <w:sz w:val="24"/>
          <w:szCs w:val="24"/>
        </w:rPr>
        <w:t xml:space="preserve">, la proporción siguió disminuyendo hasta 2002). </w:t>
      </w:r>
      <w:r w:rsidR="007103B5" w:rsidRPr="006C42BE">
        <w:rPr>
          <w:rFonts w:ascii="Times New Roman" w:hAnsi="Times New Roman" w:cs="Times New Roman"/>
          <w:sz w:val="24"/>
          <w:szCs w:val="24"/>
        </w:rPr>
        <w:t>Ello</w:t>
      </w:r>
      <w:r w:rsidRPr="006C42BE">
        <w:rPr>
          <w:rFonts w:ascii="Times New Roman" w:hAnsi="Times New Roman" w:cs="Times New Roman"/>
          <w:sz w:val="24"/>
          <w:szCs w:val="24"/>
        </w:rPr>
        <w:t xml:space="preserve"> explica el cambio en la configuración sociológica y económica de la po</w:t>
      </w:r>
      <w:r w:rsidR="007103B5" w:rsidRPr="006C42BE">
        <w:rPr>
          <w:rFonts w:ascii="Times New Roman" w:hAnsi="Times New Roman" w:cs="Times New Roman"/>
          <w:sz w:val="24"/>
          <w:szCs w:val="24"/>
        </w:rPr>
        <w:t>breza, que no sólo presentaba las más alta</w:t>
      </w:r>
      <w:r w:rsidRPr="006C42BE">
        <w:rPr>
          <w:rFonts w:ascii="Times New Roman" w:hAnsi="Times New Roman" w:cs="Times New Roman"/>
          <w:sz w:val="24"/>
          <w:szCs w:val="24"/>
        </w:rPr>
        <w:t xml:space="preserve">s mediciones históricas (28,9 % de personas y 23,8 % de los hogares, siempre en 2000) sino un patrón distinto en su generación: mientras que en la década de 1970 casi la mitad de los hogares en los que vivía el 5 % de pobres tenían un jefe inactivo (generalmente jubilado), “la nueva pobreza” (en los 90s) se alojaba en hogares con jefes activos, “…muchos desempleados, pero la mayoría ocupados en puestos de bajas calificaciones y precarios” (Beccaria, 2007, pp 565-567; también Lindenboim, 2010 y Alvarez Leguizamón y otras, 2016). Esa descripción </w:t>
      </w:r>
      <w:r w:rsidR="007103B5" w:rsidRPr="006C42BE">
        <w:rPr>
          <w:rFonts w:ascii="Times New Roman" w:hAnsi="Times New Roman" w:cs="Times New Roman"/>
          <w:sz w:val="24"/>
          <w:szCs w:val="24"/>
        </w:rPr>
        <w:t>continúa vigente</w:t>
      </w:r>
      <w:r w:rsidRPr="006C42BE">
        <w:rPr>
          <w:rFonts w:ascii="Times New Roman" w:hAnsi="Times New Roman" w:cs="Times New Roman"/>
          <w:sz w:val="24"/>
          <w:szCs w:val="24"/>
        </w:rPr>
        <w:t>.</w:t>
      </w:r>
    </w:p>
    <w:p w14:paraId="7BA0DDBD"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entorno institucional de esas condiciones se completaba con: (i) una cobertura total de adultos mayores (AAMM) (previsional nacional y provincial, pensiones asistenciales de distintos tipos) entre el 63/65 % del segmento etario (con brechas de género cercanas a los 20 puntos de desventaja femenina); (ii) a fines del mismo año 2000, </w:t>
      </w:r>
      <w:r w:rsidR="008E4ED3" w:rsidRPr="006C42BE">
        <w:rPr>
          <w:rFonts w:ascii="Times New Roman" w:hAnsi="Times New Roman" w:cs="Times New Roman"/>
          <w:sz w:val="24"/>
          <w:szCs w:val="24"/>
        </w:rPr>
        <w:t>con un</w:t>
      </w:r>
      <w:r w:rsidRPr="006C42BE">
        <w:rPr>
          <w:rFonts w:ascii="Times New Roman" w:hAnsi="Times New Roman" w:cs="Times New Roman"/>
          <w:sz w:val="24"/>
          <w:szCs w:val="24"/>
        </w:rPr>
        <w:t xml:space="preserve"> desempleo de 18,3 % de la PEA, el seguro alcanzaba casi 130.000 beneficiarios, una </w:t>
      </w:r>
      <w:r w:rsidRPr="006C42BE">
        <w:rPr>
          <w:rFonts w:ascii="Times New Roman" w:hAnsi="Times New Roman" w:cs="Times New Roman"/>
          <w:sz w:val="24"/>
          <w:szCs w:val="24"/>
        </w:rPr>
        <w:lastRenderedPageBreak/>
        <w:t xml:space="preserve">cobertura cercana al 7 % del total de desocupados en áreas urbanas (6,91); </w:t>
      </w:r>
      <w:commentRangeStart w:id="12"/>
      <w:r w:rsidRPr="006C42BE">
        <w:rPr>
          <w:rFonts w:ascii="Times New Roman" w:hAnsi="Times New Roman" w:cs="Times New Roman"/>
          <w:sz w:val="24"/>
          <w:szCs w:val="24"/>
        </w:rPr>
        <w:t xml:space="preserve">(iii) un sistema de asistencia cuyo </w:t>
      </w:r>
      <w:r w:rsidR="008E4ED3" w:rsidRPr="006C42BE">
        <w:rPr>
          <w:rFonts w:ascii="Times New Roman" w:hAnsi="Times New Roman" w:cs="Times New Roman"/>
          <w:sz w:val="24"/>
          <w:szCs w:val="24"/>
        </w:rPr>
        <w:t xml:space="preserve">principal </w:t>
      </w:r>
      <w:r w:rsidRPr="006C42BE">
        <w:rPr>
          <w:rFonts w:ascii="Times New Roman" w:hAnsi="Times New Roman" w:cs="Times New Roman"/>
          <w:sz w:val="24"/>
          <w:szCs w:val="24"/>
        </w:rPr>
        <w:t xml:space="preserve">exponente, aún grabado en la memoria social, era el Programa Trabajar (versiones I, II y III), con financiamiento del Banco Mundial, de transferencias de entre el 80 y 100 % del salario mínimo vital </w:t>
      </w:r>
      <w:r w:rsidRPr="006C42BE">
        <w:rPr>
          <w:rStyle w:val="Refdenotaalpie"/>
          <w:rFonts w:ascii="Times New Roman" w:hAnsi="Times New Roman" w:cs="Times New Roman"/>
          <w:sz w:val="24"/>
          <w:szCs w:val="24"/>
        </w:rPr>
        <w:footnoteReference w:id="4"/>
      </w:r>
      <w:r w:rsidRPr="006C42BE">
        <w:rPr>
          <w:rFonts w:ascii="Times New Roman" w:hAnsi="Times New Roman" w:cs="Times New Roman"/>
          <w:sz w:val="24"/>
          <w:szCs w:val="24"/>
        </w:rPr>
        <w:t xml:space="preserve">. Según distintos registros, entre 1995-2002  aquellas versiones llegaron a los 270.000-350.000 beneficiarios (Grassi, 2003; Chiara y Di Virgilio, 2005); </w:t>
      </w:r>
      <w:commentRangeEnd w:id="12"/>
      <w:r w:rsidR="00A3776A">
        <w:rPr>
          <w:rStyle w:val="Refdecomentario"/>
        </w:rPr>
        <w:commentReference w:id="12"/>
      </w:r>
      <w:r w:rsidRPr="006C42BE">
        <w:rPr>
          <w:rFonts w:ascii="Times New Roman" w:hAnsi="Times New Roman" w:cs="Times New Roman"/>
          <w:sz w:val="24"/>
          <w:szCs w:val="24"/>
        </w:rPr>
        <w:t xml:space="preserve">(iv) otro componente asistencial principal, el PRANI (Programa Alimentario y Nutricional Infantil), </w:t>
      </w:r>
      <w:r w:rsidR="008E4ED3" w:rsidRPr="006C42BE">
        <w:rPr>
          <w:rFonts w:ascii="Times New Roman" w:hAnsi="Times New Roman" w:cs="Times New Roman"/>
          <w:sz w:val="24"/>
          <w:szCs w:val="24"/>
        </w:rPr>
        <w:t>alcanzó</w:t>
      </w:r>
      <w:r w:rsidRPr="006C42BE">
        <w:rPr>
          <w:rFonts w:ascii="Times New Roman" w:hAnsi="Times New Roman" w:cs="Times New Roman"/>
          <w:sz w:val="24"/>
          <w:szCs w:val="24"/>
        </w:rPr>
        <w:t xml:space="preserve"> 320.000 niños, niñas y adolescentes (NNyA) “bajo programa”. </w:t>
      </w:r>
    </w:p>
    <w:p w14:paraId="6567835C"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Alternando el enfoque “desde los ingresos” con el “del ciclo de vida” (Cecchini y otros, 2015), se ve que en 1999 el 47 % de los NNyA hasta 18 años que vivían en zonas urbanas estaba cubierto por el sistema de asignaciones familiares (Rofman, Grushka y Chebez, 2001</w:t>
      </w:r>
      <w:r w:rsidRPr="006C42BE">
        <w:rPr>
          <w:rStyle w:val="Refdenotaalpie"/>
          <w:rFonts w:ascii="Times New Roman" w:hAnsi="Times New Roman" w:cs="Times New Roman"/>
          <w:sz w:val="24"/>
          <w:szCs w:val="24"/>
        </w:rPr>
        <w:footnoteReference w:id="5"/>
      </w:r>
      <w:r w:rsidRPr="006C42BE">
        <w:rPr>
          <w:rFonts w:ascii="Times New Roman" w:hAnsi="Times New Roman" w:cs="Times New Roman"/>
          <w:sz w:val="24"/>
          <w:szCs w:val="24"/>
        </w:rPr>
        <w:t xml:space="preserve">). </w:t>
      </w:r>
      <w:r w:rsidR="008E4ED3" w:rsidRPr="006C42BE">
        <w:rPr>
          <w:rFonts w:ascii="Times New Roman" w:hAnsi="Times New Roman" w:cs="Times New Roman"/>
          <w:sz w:val="24"/>
          <w:szCs w:val="24"/>
        </w:rPr>
        <w:t>S</w:t>
      </w:r>
      <w:r w:rsidRPr="006C42BE">
        <w:rPr>
          <w:rFonts w:ascii="Times New Roman" w:hAnsi="Times New Roman" w:cs="Times New Roman"/>
          <w:sz w:val="24"/>
          <w:szCs w:val="24"/>
        </w:rPr>
        <w:t>egún dichos autores</w:t>
      </w:r>
      <w:r w:rsidR="008E4ED3" w:rsidRPr="006C42BE">
        <w:rPr>
          <w:rFonts w:ascii="Times New Roman" w:hAnsi="Times New Roman" w:cs="Times New Roman"/>
          <w:sz w:val="24"/>
          <w:szCs w:val="24"/>
        </w:rPr>
        <w:t>, estaba cubierto el 50,4% de hogares entre cuyos miembros había niños</w:t>
      </w:r>
      <w:r w:rsidRPr="006C42BE">
        <w:rPr>
          <w:rFonts w:ascii="Times New Roman" w:hAnsi="Times New Roman" w:cs="Times New Roman"/>
          <w:sz w:val="24"/>
          <w:szCs w:val="24"/>
        </w:rPr>
        <w:t xml:space="preserve">. </w:t>
      </w:r>
    </w:p>
    <w:p w14:paraId="4F27493F" w14:textId="77777777" w:rsidR="00853FB2" w:rsidRPr="006C42BE" w:rsidRDefault="00B61D61"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Finalizando</w:t>
      </w:r>
      <w:r w:rsidR="00853FB2" w:rsidRPr="006C42BE">
        <w:rPr>
          <w:rFonts w:ascii="Times New Roman" w:hAnsi="Times New Roman" w:cs="Times New Roman"/>
          <w:sz w:val="24"/>
          <w:szCs w:val="24"/>
        </w:rPr>
        <w:t xml:space="preserve"> 2015, (i)</w:t>
      </w:r>
      <w:r w:rsidR="00853FB2" w:rsidRPr="006C42BE">
        <w:rPr>
          <w:rStyle w:val="Refdenotaalpie"/>
          <w:rFonts w:ascii="Times New Roman" w:hAnsi="Times New Roman" w:cs="Times New Roman"/>
          <w:sz w:val="24"/>
          <w:szCs w:val="24"/>
        </w:rPr>
        <w:footnoteReference w:id="6"/>
      </w:r>
      <w:r w:rsidR="00853FB2" w:rsidRPr="006C42BE">
        <w:rPr>
          <w:rFonts w:ascii="Times New Roman" w:hAnsi="Times New Roman" w:cs="Times New Roman"/>
          <w:sz w:val="24"/>
          <w:szCs w:val="24"/>
        </w:rPr>
        <w:t xml:space="preserve"> el </w:t>
      </w:r>
      <w:r w:rsidR="00FF577B" w:rsidRPr="006C42BE">
        <w:rPr>
          <w:rFonts w:ascii="Times New Roman" w:hAnsi="Times New Roman" w:cs="Times New Roman"/>
          <w:sz w:val="24"/>
          <w:szCs w:val="24"/>
        </w:rPr>
        <w:t>48</w:t>
      </w:r>
      <w:r w:rsidR="00853FB2" w:rsidRPr="006C42BE">
        <w:rPr>
          <w:rFonts w:ascii="Times New Roman" w:hAnsi="Times New Roman" w:cs="Times New Roman"/>
          <w:sz w:val="24"/>
          <w:szCs w:val="24"/>
        </w:rPr>
        <w:t xml:space="preserve"> % de la PEA y el </w:t>
      </w:r>
      <w:r w:rsidR="00FF577B" w:rsidRPr="006C42BE">
        <w:rPr>
          <w:rFonts w:ascii="Times New Roman" w:hAnsi="Times New Roman" w:cs="Times New Roman"/>
          <w:sz w:val="24"/>
          <w:szCs w:val="24"/>
        </w:rPr>
        <w:t xml:space="preserve">51,2 </w:t>
      </w:r>
      <w:r w:rsidR="00853FB2" w:rsidRPr="006C42BE">
        <w:rPr>
          <w:rFonts w:ascii="Times New Roman" w:hAnsi="Times New Roman" w:cs="Times New Roman"/>
          <w:sz w:val="24"/>
          <w:szCs w:val="24"/>
        </w:rPr>
        <w:t>%</w:t>
      </w:r>
      <w:r w:rsidR="00FF577B" w:rsidRPr="006C42BE">
        <w:rPr>
          <w:rStyle w:val="Refdenotaalpie"/>
          <w:rFonts w:ascii="Times New Roman" w:hAnsi="Times New Roman" w:cs="Times New Roman"/>
          <w:sz w:val="24"/>
          <w:szCs w:val="24"/>
        </w:rPr>
        <w:footnoteReference w:id="7"/>
      </w:r>
      <w:r w:rsidR="00853FB2" w:rsidRPr="006C42BE">
        <w:rPr>
          <w:rFonts w:ascii="Times New Roman" w:hAnsi="Times New Roman" w:cs="Times New Roman"/>
          <w:sz w:val="24"/>
          <w:szCs w:val="24"/>
        </w:rPr>
        <w:t xml:space="preserve"> de los ocupados </w:t>
      </w:r>
      <w:r w:rsidRPr="006C42BE">
        <w:rPr>
          <w:rFonts w:ascii="Times New Roman" w:hAnsi="Times New Roman" w:cs="Times New Roman"/>
          <w:sz w:val="24"/>
          <w:szCs w:val="24"/>
        </w:rPr>
        <w:t>estaban</w:t>
      </w:r>
      <w:r w:rsidR="00853FB2" w:rsidRPr="006C42BE">
        <w:rPr>
          <w:rFonts w:ascii="Times New Roman" w:hAnsi="Times New Roman" w:cs="Times New Roman"/>
          <w:sz w:val="24"/>
          <w:szCs w:val="24"/>
        </w:rPr>
        <w:t xml:space="preserve"> registrado</w:t>
      </w:r>
      <w:r w:rsidRPr="006C42BE">
        <w:rPr>
          <w:rFonts w:ascii="Times New Roman" w:hAnsi="Times New Roman" w:cs="Times New Roman"/>
          <w:sz w:val="24"/>
          <w:szCs w:val="24"/>
        </w:rPr>
        <w:t>s</w:t>
      </w:r>
      <w:r w:rsidR="00853FB2" w:rsidRPr="006C42BE">
        <w:rPr>
          <w:rFonts w:ascii="Times New Roman" w:hAnsi="Times New Roman" w:cs="Times New Roman"/>
          <w:sz w:val="24"/>
          <w:szCs w:val="24"/>
        </w:rPr>
        <w:t xml:space="preserve"> y aportando al sistema previsional; (ii) en cuanto a la pobreza, por su declaración de emerg</w:t>
      </w:r>
      <w:r w:rsidRPr="006C42BE">
        <w:rPr>
          <w:rFonts w:ascii="Times New Roman" w:hAnsi="Times New Roman" w:cs="Times New Roman"/>
          <w:sz w:val="24"/>
          <w:szCs w:val="24"/>
        </w:rPr>
        <w:t>encia estadística, INDEC retomó la</w:t>
      </w:r>
      <w:r w:rsidR="00853FB2" w:rsidRPr="006C42BE">
        <w:rPr>
          <w:rFonts w:ascii="Times New Roman" w:hAnsi="Times New Roman" w:cs="Times New Roman"/>
          <w:sz w:val="24"/>
          <w:szCs w:val="24"/>
        </w:rPr>
        <w:t xml:space="preserve"> información recién </w:t>
      </w:r>
      <w:r w:rsidRPr="006C42BE">
        <w:rPr>
          <w:rFonts w:ascii="Times New Roman" w:hAnsi="Times New Roman" w:cs="Times New Roman"/>
          <w:sz w:val="24"/>
          <w:szCs w:val="24"/>
        </w:rPr>
        <w:t>en</w:t>
      </w:r>
      <w:r w:rsidR="00853FB2" w:rsidRPr="006C42BE">
        <w:rPr>
          <w:rFonts w:ascii="Times New Roman" w:hAnsi="Times New Roman" w:cs="Times New Roman"/>
          <w:sz w:val="24"/>
          <w:szCs w:val="24"/>
        </w:rPr>
        <w:t xml:space="preserve"> segundo trimestre/2016</w:t>
      </w:r>
      <w:r w:rsidRPr="006C42BE">
        <w:rPr>
          <w:rFonts w:ascii="Times New Roman" w:hAnsi="Times New Roman" w:cs="Times New Roman"/>
          <w:sz w:val="24"/>
          <w:szCs w:val="24"/>
        </w:rPr>
        <w:t>,</w:t>
      </w:r>
      <w:r w:rsidR="00853FB2" w:rsidRPr="006C42BE">
        <w:rPr>
          <w:rFonts w:ascii="Times New Roman" w:hAnsi="Times New Roman" w:cs="Times New Roman"/>
          <w:sz w:val="24"/>
          <w:szCs w:val="24"/>
        </w:rPr>
        <w:t xml:space="preserve"> </w:t>
      </w:r>
      <w:r w:rsidRPr="006C42BE">
        <w:rPr>
          <w:rFonts w:ascii="Times New Roman" w:hAnsi="Times New Roman" w:cs="Times New Roman"/>
          <w:sz w:val="24"/>
          <w:szCs w:val="24"/>
        </w:rPr>
        <w:t>con un</w:t>
      </w:r>
      <w:r w:rsidR="00853FB2" w:rsidRPr="006C42BE">
        <w:rPr>
          <w:rFonts w:ascii="Times New Roman" w:hAnsi="Times New Roman" w:cs="Times New Roman"/>
          <w:sz w:val="24"/>
          <w:szCs w:val="24"/>
        </w:rPr>
        <w:t xml:space="preserve"> reporte del 32,2 % de personas y 23,1 % de hogares por debajo de </w:t>
      </w:r>
      <w:r w:rsidR="00853FB2" w:rsidRPr="006C42BE">
        <w:rPr>
          <w:rFonts w:ascii="Times New Roman" w:hAnsi="Times New Roman" w:cs="Times New Roman"/>
          <w:sz w:val="24"/>
          <w:szCs w:val="24"/>
        </w:rPr>
        <w:lastRenderedPageBreak/>
        <w:t xml:space="preserve">la línea de pobreza, lo que significaría un empeoramiento absoluto importante respecto de 2000, pero muy serio puesto en contexto del crecimiento económico y de puestos de trabajo entre puntas. Sin embargo, y más allá de los seis meses de 2016 incluidos (relativamente aceptable para nuestros objetivos generales), el dato está afectado por un cambio metodológico que tiende a subir el indicador. Por ello, agregamos que con su cálculo basado en institutos de nueve provincias (muy recurrido entre 2007-2015), CIFRA estimó la pobreza de segundo trimestre 2015 en 19,7 de personas (2017). Aun siendo datos tan distantes entre sí, ambos abonan a una apreciación sombría: existen graves obstáculos socioeconómicos para revertir la privación de entre un quinto y un tercio de la población, incluso en las favorables condiciones </w:t>
      </w:r>
      <w:r w:rsidR="00746C41" w:rsidRPr="006C42BE">
        <w:rPr>
          <w:rFonts w:ascii="Times New Roman" w:hAnsi="Times New Roman" w:cs="Times New Roman"/>
          <w:sz w:val="24"/>
          <w:szCs w:val="24"/>
        </w:rPr>
        <w:t>que caracterizaron el período</w:t>
      </w:r>
      <w:r w:rsidR="00853FB2" w:rsidRPr="006C42BE">
        <w:rPr>
          <w:rFonts w:ascii="Times New Roman" w:hAnsi="Times New Roman" w:cs="Times New Roman"/>
          <w:sz w:val="24"/>
          <w:szCs w:val="24"/>
        </w:rPr>
        <w:t>;  (iii) la cobertura total de adultos de 65 años y más era de 90,8 %, (</w:t>
      </w:r>
      <w:r w:rsidR="00853FB2" w:rsidRPr="006C42BE">
        <w:rPr>
          <w:rFonts w:ascii="Times New Roman" w:hAnsi="Times New Roman" w:cs="Times New Roman"/>
          <w:i/>
          <w:sz w:val="24"/>
          <w:szCs w:val="24"/>
        </w:rPr>
        <w:t>entre tres y  seis puntos a favor de las mujeres</w:t>
      </w:r>
      <w:r w:rsidR="00853FB2" w:rsidRPr="006C42BE">
        <w:rPr>
          <w:rFonts w:ascii="Times New Roman" w:hAnsi="Times New Roman" w:cs="Times New Roman"/>
          <w:sz w:val="24"/>
          <w:szCs w:val="24"/>
        </w:rPr>
        <w:t>); iv) el desempleo estaba en 5,8 % y cobraban seguro de desempleo 57.689 beneficiarios, lo que también era el 5,8 % de los desocupados (998.000); v) la combinación del sistema nacional (asignaciones familiares y deducción del impuesto a las ganancias) y provinciales arrojaba una cobertura total de NNyA del 77 % de menores de 18 años. A ello se agregaba un programa de transferencia de ingresos para jóvenes de 18-24 años (PROGRESAR), que no integraba el sistema de seguridad social y que registraba 150.000 titulares; vi) los programas asistenciales contabilizaban entre 140.000/150.000 beneficios, principalmente del Programa Ingreso Social con Trabajo (PRIST, trabajo autogestivo y cooperativo); un tratamiento bastante liberal de la información permite estimar en 14 % los desocupados incorporados –más que imperfectamente- por esa cobertura.</w:t>
      </w:r>
    </w:p>
    <w:p w14:paraId="3131D426" w14:textId="77777777" w:rsidR="00853FB2" w:rsidRPr="006C42BE" w:rsidRDefault="00853FB2" w:rsidP="001E4181">
      <w:pPr>
        <w:spacing w:after="0" w:line="480" w:lineRule="auto"/>
        <w:ind w:left="-113"/>
        <w:rPr>
          <w:rFonts w:ascii="Times New Roman" w:hAnsi="Times New Roman" w:cs="Times New Roman"/>
          <w:sz w:val="24"/>
          <w:szCs w:val="24"/>
        </w:rPr>
      </w:pPr>
      <w:commentRangeStart w:id="13"/>
      <w:r w:rsidRPr="006C42BE">
        <w:rPr>
          <w:rFonts w:ascii="Times New Roman" w:hAnsi="Times New Roman" w:cs="Times New Roman"/>
          <w:sz w:val="24"/>
          <w:szCs w:val="24"/>
        </w:rPr>
        <w:t xml:space="preserve">Los dos escenarios están separados por quince años (2000 a 2015). Y, referida la imposibilidad de pronunciarse seriamente sobre la situación de pobreza, de todos modos </w:t>
      </w:r>
      <w:r w:rsidRPr="006C42BE">
        <w:rPr>
          <w:rFonts w:ascii="Times New Roman" w:hAnsi="Times New Roman" w:cs="Times New Roman"/>
          <w:sz w:val="24"/>
          <w:szCs w:val="24"/>
        </w:rPr>
        <w:lastRenderedPageBreak/>
        <w:t xml:space="preserve">puede afirmarse que las condiciones inmediatas de vida experimentaron una mejora considerable. </w:t>
      </w:r>
      <w:commentRangeEnd w:id="13"/>
      <w:r w:rsidR="00A57854">
        <w:rPr>
          <w:rStyle w:val="Refdecomentario"/>
        </w:rPr>
        <w:commentReference w:id="13"/>
      </w:r>
    </w:p>
    <w:p w14:paraId="5FA47C9C" w14:textId="77777777" w:rsidR="006850A7" w:rsidRPr="006C42BE" w:rsidRDefault="00746C41"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 continuación de esta mirada general a las condiciones socioeconómicas, nos internamos en las modalidades y en el sentido del sistema de protección. ¿Cuáles fueron los soportes institucionales, los “arreglos” institucionalizados y los valores que arrastraron con ellos y en los que se sostuvieron? Incorporaremos también el examen de los grandes procesos en salud y educación, dos áreas críticas para las condiciones de vida</w:t>
      </w:r>
      <w:r w:rsidR="00EB5CC8" w:rsidRPr="006C42BE">
        <w:rPr>
          <w:rFonts w:ascii="Times New Roman" w:hAnsi="Times New Roman" w:cs="Times New Roman"/>
          <w:sz w:val="24"/>
          <w:szCs w:val="24"/>
        </w:rPr>
        <w:t>.</w:t>
      </w:r>
    </w:p>
    <w:p w14:paraId="444D5F76" w14:textId="77777777" w:rsidR="00F81417" w:rsidRPr="006C42BE" w:rsidRDefault="00F81417" w:rsidP="001E4181">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1.3 La contra-reforma: proyecto y resultado</w:t>
      </w:r>
    </w:p>
    <w:p w14:paraId="67541632" w14:textId="77777777" w:rsidR="00E00219" w:rsidRPr="006C42BE" w:rsidRDefault="00E00219"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Esquemáticamente, identificamos cuatro ejes que hacían a la “crisis social y política sin precedentes” de la que hablamos: (i) el </w:t>
      </w:r>
      <w:r w:rsidRPr="006C42BE">
        <w:rPr>
          <w:rFonts w:ascii="Times New Roman" w:hAnsi="Times New Roman" w:cs="Times New Roman"/>
          <w:i/>
          <w:sz w:val="24"/>
          <w:szCs w:val="24"/>
        </w:rPr>
        <w:t>trabajo</w:t>
      </w:r>
      <w:r w:rsidRPr="006C42BE">
        <w:rPr>
          <w:rFonts w:ascii="Times New Roman" w:hAnsi="Times New Roman" w:cs="Times New Roman"/>
          <w:sz w:val="24"/>
          <w:szCs w:val="24"/>
        </w:rPr>
        <w:t xml:space="preserve"> había sido despojado de su condición de soporte de una vida respetable y respetada; (ii) los </w:t>
      </w:r>
      <w:r w:rsidRPr="006C42BE">
        <w:rPr>
          <w:rFonts w:ascii="Times New Roman" w:hAnsi="Times New Roman" w:cs="Times New Roman"/>
          <w:i/>
          <w:sz w:val="24"/>
          <w:szCs w:val="24"/>
        </w:rPr>
        <w:t>derechos sociales</w:t>
      </w:r>
      <w:r w:rsidRPr="006C42BE">
        <w:rPr>
          <w:rFonts w:ascii="Times New Roman" w:hAnsi="Times New Roman" w:cs="Times New Roman"/>
          <w:sz w:val="24"/>
          <w:szCs w:val="24"/>
        </w:rPr>
        <w:t xml:space="preserve"> eran entendidos como fuente de ineficiencia y dependencia; (iii) se había naturalizado la </w:t>
      </w:r>
      <w:r w:rsidRPr="006C42BE">
        <w:rPr>
          <w:rFonts w:ascii="Times New Roman" w:hAnsi="Times New Roman" w:cs="Times New Roman"/>
          <w:i/>
          <w:sz w:val="24"/>
          <w:szCs w:val="24"/>
        </w:rPr>
        <w:t>desigualdad</w:t>
      </w:r>
      <w:r w:rsidRPr="006C42BE">
        <w:rPr>
          <w:rFonts w:ascii="Times New Roman" w:hAnsi="Times New Roman" w:cs="Times New Roman"/>
          <w:sz w:val="24"/>
          <w:szCs w:val="24"/>
        </w:rPr>
        <w:t xml:space="preserve"> de todo tipo (cultural, económica, social, étnica, territorial);  y (iv) se experimentaba un fenómeno de </w:t>
      </w:r>
      <w:r w:rsidRPr="006C42BE">
        <w:rPr>
          <w:rFonts w:ascii="Times New Roman" w:hAnsi="Times New Roman" w:cs="Times New Roman"/>
          <w:i/>
          <w:sz w:val="24"/>
          <w:szCs w:val="24"/>
        </w:rPr>
        <w:t>exclusión</w:t>
      </w:r>
      <w:r w:rsidRPr="006C42BE">
        <w:rPr>
          <w:rFonts w:ascii="Times New Roman" w:hAnsi="Times New Roman" w:cs="Times New Roman"/>
          <w:sz w:val="24"/>
          <w:szCs w:val="24"/>
        </w:rPr>
        <w:t xml:space="preserve"> masiva de grandes contingentes que quedaban “fuera” de lazos elementales de pertenencia a la comunidad. Ello ocurría en el momento en el que eran las reglas de la distribución, y no las de la escasez, las que explicaban esa situación. </w:t>
      </w:r>
    </w:p>
    <w:p w14:paraId="1FE45E53" w14:textId="77777777" w:rsidR="00F81417" w:rsidRPr="006C42BE" w:rsidRDefault="001B22AF"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En</w:t>
      </w:r>
      <w:r w:rsidR="00F81417" w:rsidRPr="006C42BE">
        <w:rPr>
          <w:rFonts w:ascii="Times New Roman" w:hAnsi="Times New Roman" w:cs="Times New Roman"/>
          <w:sz w:val="24"/>
          <w:szCs w:val="24"/>
        </w:rPr>
        <w:t xml:space="preserve"> la “salida” de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crisis cobra </w:t>
      </w:r>
      <w:r w:rsidRPr="006C42BE">
        <w:rPr>
          <w:rFonts w:ascii="Times New Roman" w:hAnsi="Times New Roman" w:cs="Times New Roman"/>
          <w:sz w:val="24"/>
          <w:szCs w:val="24"/>
        </w:rPr>
        <w:t>relieve</w:t>
      </w:r>
      <w:r w:rsidR="00F81417" w:rsidRPr="006C42BE">
        <w:rPr>
          <w:rFonts w:ascii="Times New Roman" w:hAnsi="Times New Roman" w:cs="Times New Roman"/>
          <w:sz w:val="24"/>
          <w:szCs w:val="24"/>
        </w:rPr>
        <w:t xml:space="preserve"> el “proyecto político” que</w:t>
      </w:r>
      <w:r w:rsidR="00115B42"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hip</w:t>
      </w:r>
      <w:r w:rsidR="00115B42" w:rsidRPr="006C42BE">
        <w:rPr>
          <w:rFonts w:ascii="Times New Roman" w:hAnsi="Times New Roman" w:cs="Times New Roman"/>
          <w:sz w:val="24"/>
          <w:szCs w:val="24"/>
        </w:rPr>
        <w:t>otetizamos,</w:t>
      </w:r>
      <w:r w:rsidR="00F81417" w:rsidRPr="006C42BE">
        <w:rPr>
          <w:rFonts w:ascii="Times New Roman" w:hAnsi="Times New Roman" w:cs="Times New Roman"/>
          <w:sz w:val="24"/>
          <w:szCs w:val="24"/>
        </w:rPr>
        <w:t xml:space="preserve"> tuvo peso por el papel que jugó la conflictividad.</w:t>
      </w:r>
      <w:r w:rsidR="00115B42" w:rsidRPr="006C42BE">
        <w:rPr>
          <w:rFonts w:ascii="Times New Roman" w:hAnsi="Times New Roman" w:cs="Times New Roman"/>
          <w:sz w:val="24"/>
          <w:szCs w:val="24"/>
        </w:rPr>
        <w:t xml:space="preserve"> </w:t>
      </w:r>
      <w:r w:rsidR="00115B42" w:rsidRPr="006C42BE">
        <w:rPr>
          <w:rStyle w:val="Refdenotaalpie"/>
          <w:rFonts w:ascii="Times New Roman" w:hAnsi="Times New Roman" w:cs="Times New Roman"/>
          <w:sz w:val="24"/>
          <w:szCs w:val="24"/>
        </w:rPr>
        <w:footnoteReference w:id="8"/>
      </w:r>
      <w:r w:rsidR="00F81417" w:rsidRPr="006C42BE">
        <w:rPr>
          <w:rFonts w:ascii="Times New Roman" w:hAnsi="Times New Roman" w:cs="Times New Roman"/>
          <w:sz w:val="24"/>
          <w:szCs w:val="24"/>
        </w:rPr>
        <w:t xml:space="preserve"> </w:t>
      </w:r>
      <w:r w:rsidR="00115B42" w:rsidRPr="006C42BE">
        <w:rPr>
          <w:rFonts w:ascii="Times New Roman" w:hAnsi="Times New Roman" w:cs="Times New Roman"/>
          <w:sz w:val="24"/>
          <w:szCs w:val="24"/>
        </w:rPr>
        <w:t>Así fue como, de</w:t>
      </w:r>
      <w:r w:rsidR="00F81417" w:rsidRPr="006C42BE">
        <w:rPr>
          <w:rFonts w:ascii="Times New Roman" w:hAnsi="Times New Roman" w:cs="Times New Roman"/>
          <w:sz w:val="24"/>
          <w:szCs w:val="24"/>
        </w:rPr>
        <w:t xml:space="preserve">sde un universo de sentido totalmente contrario, los cuatro vectores </w:t>
      </w:r>
      <w:r w:rsidRPr="006C42BE">
        <w:rPr>
          <w:rFonts w:ascii="Times New Roman" w:hAnsi="Times New Roman" w:cs="Times New Roman"/>
          <w:sz w:val="24"/>
          <w:szCs w:val="24"/>
        </w:rPr>
        <w:t xml:space="preserve">que condujeron a </w:t>
      </w:r>
      <w:r w:rsidR="00F81417" w:rsidRPr="006C42BE">
        <w:rPr>
          <w:rFonts w:ascii="Times New Roman" w:hAnsi="Times New Roman" w:cs="Times New Roman"/>
          <w:sz w:val="24"/>
          <w:szCs w:val="24"/>
        </w:rPr>
        <w:t xml:space="preserve">la crisis fueron </w:t>
      </w:r>
      <w:r w:rsidRPr="006C42BE">
        <w:rPr>
          <w:rFonts w:ascii="Times New Roman" w:hAnsi="Times New Roman" w:cs="Times New Roman"/>
          <w:sz w:val="24"/>
          <w:szCs w:val="24"/>
        </w:rPr>
        <w:t xml:space="preserve">simétricamente </w:t>
      </w:r>
      <w:r w:rsidR="00F81417" w:rsidRPr="006C42BE">
        <w:rPr>
          <w:rFonts w:ascii="Times New Roman" w:hAnsi="Times New Roman" w:cs="Times New Roman"/>
          <w:sz w:val="24"/>
          <w:szCs w:val="24"/>
        </w:rPr>
        <w:t xml:space="preserve">contradichos por políticas que propusieron </w:t>
      </w:r>
      <w:r w:rsidR="00F81417" w:rsidRPr="006C42BE">
        <w:rPr>
          <w:rFonts w:ascii="Times New Roman" w:hAnsi="Times New Roman" w:cs="Times New Roman"/>
          <w:i/>
          <w:sz w:val="24"/>
          <w:szCs w:val="24"/>
        </w:rPr>
        <w:t xml:space="preserve">trabajo registrado, a tiempo </w:t>
      </w:r>
      <w:r w:rsidR="00F81417" w:rsidRPr="006C42BE">
        <w:rPr>
          <w:rFonts w:ascii="Times New Roman" w:hAnsi="Times New Roman" w:cs="Times New Roman"/>
          <w:i/>
          <w:sz w:val="24"/>
          <w:szCs w:val="24"/>
        </w:rPr>
        <w:lastRenderedPageBreak/>
        <w:t>completo y protegido</w:t>
      </w:r>
      <w:r w:rsidR="00F81417" w:rsidRPr="006C42BE">
        <w:rPr>
          <w:rStyle w:val="Refdenotaalpie"/>
          <w:rFonts w:ascii="Times New Roman" w:hAnsi="Times New Roman" w:cs="Times New Roman"/>
          <w:sz w:val="24"/>
          <w:szCs w:val="24"/>
        </w:rPr>
        <w:footnoteReference w:id="9"/>
      </w:r>
      <w:r w:rsidRPr="006C42BE">
        <w:rPr>
          <w:rFonts w:ascii="Times New Roman" w:hAnsi="Times New Roman" w:cs="Times New Roman"/>
          <w:sz w:val="24"/>
          <w:szCs w:val="24"/>
        </w:rPr>
        <w:t xml:space="preserve">, </w:t>
      </w:r>
      <w:r w:rsidR="00F81417" w:rsidRPr="006C42BE">
        <w:rPr>
          <w:rFonts w:ascii="Times New Roman" w:hAnsi="Times New Roman" w:cs="Times New Roman"/>
          <w:sz w:val="24"/>
          <w:szCs w:val="24"/>
        </w:rPr>
        <w:t>argumenta</w:t>
      </w:r>
      <w:r w:rsidRPr="006C42BE">
        <w:rPr>
          <w:rFonts w:ascii="Times New Roman" w:hAnsi="Times New Roman" w:cs="Times New Roman"/>
          <w:sz w:val="24"/>
          <w:szCs w:val="24"/>
        </w:rPr>
        <w:t>ndo</w:t>
      </w:r>
      <w:r w:rsidR="00F81417" w:rsidRPr="006C42BE">
        <w:rPr>
          <w:rFonts w:ascii="Times New Roman" w:hAnsi="Times New Roman" w:cs="Times New Roman"/>
          <w:sz w:val="24"/>
          <w:szCs w:val="24"/>
        </w:rPr>
        <w:t xml:space="preserve"> a favor de la </w:t>
      </w:r>
      <w:r w:rsidR="00F81417" w:rsidRPr="006C42BE">
        <w:rPr>
          <w:rFonts w:ascii="Times New Roman" w:hAnsi="Times New Roman" w:cs="Times New Roman"/>
          <w:i/>
          <w:sz w:val="24"/>
          <w:szCs w:val="24"/>
        </w:rPr>
        <w:t>igualdad</w:t>
      </w:r>
      <w:r w:rsidR="00F81417" w:rsidRPr="006C42BE">
        <w:rPr>
          <w:rFonts w:ascii="Times New Roman" w:hAnsi="Times New Roman" w:cs="Times New Roman"/>
          <w:sz w:val="24"/>
          <w:szCs w:val="24"/>
        </w:rPr>
        <w:t xml:space="preserve">; de los </w:t>
      </w:r>
      <w:r w:rsidR="00F81417" w:rsidRPr="006C42BE">
        <w:rPr>
          <w:rFonts w:ascii="Times New Roman" w:hAnsi="Times New Roman" w:cs="Times New Roman"/>
          <w:i/>
          <w:sz w:val="24"/>
          <w:szCs w:val="24"/>
        </w:rPr>
        <w:t>derechos sociales y políticos</w:t>
      </w:r>
      <w:r w:rsidR="00F81417" w:rsidRPr="006C42BE">
        <w:rPr>
          <w:rFonts w:ascii="Times New Roman" w:hAnsi="Times New Roman" w:cs="Times New Roman"/>
          <w:sz w:val="24"/>
          <w:szCs w:val="24"/>
        </w:rPr>
        <w:t xml:space="preserve"> y de la </w:t>
      </w:r>
      <w:r w:rsidR="00F81417" w:rsidRPr="006C42BE">
        <w:rPr>
          <w:rFonts w:ascii="Times New Roman" w:hAnsi="Times New Roman" w:cs="Times New Roman"/>
          <w:i/>
          <w:sz w:val="24"/>
          <w:szCs w:val="24"/>
        </w:rPr>
        <w:t>inclusión</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definición del rumbo no fue inmediata y pueden distinguirse etapas, que referiremos sólo ocasionalmente. </w:t>
      </w:r>
    </w:p>
    <w:p w14:paraId="170347AF" w14:textId="77777777" w:rsidR="00F81417" w:rsidRPr="006C42BE" w:rsidRDefault="006850A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Para </w:t>
      </w:r>
      <w:r w:rsidR="00F81417" w:rsidRPr="006C42BE">
        <w:rPr>
          <w:rFonts w:ascii="Times New Roman" w:hAnsi="Times New Roman" w:cs="Times New Roman"/>
          <w:sz w:val="24"/>
          <w:szCs w:val="24"/>
        </w:rPr>
        <w:t xml:space="preserve">lo sustantivo de los sistemas de políticas sociales y de su capacidad de protección (bienestar, satisfacción de necesidades ampliadas de la vida, reconocimiento y garantías de derechos) tanto el lenguaje oficial como el de diversos estudios especializados coincidieron y coinciden en caracterizar el período </w:t>
      </w:r>
      <w:commentRangeStart w:id="14"/>
      <w:r w:rsidR="00F81417" w:rsidRPr="006C42BE">
        <w:rPr>
          <w:rFonts w:ascii="Times New Roman" w:hAnsi="Times New Roman" w:cs="Times New Roman"/>
          <w:sz w:val="24"/>
          <w:szCs w:val="24"/>
        </w:rPr>
        <w:t xml:space="preserve">como </w:t>
      </w:r>
      <w:commentRangeEnd w:id="14"/>
      <w:r w:rsidR="00D9119A">
        <w:rPr>
          <w:rStyle w:val="Refdecomentario"/>
        </w:rPr>
        <w:commentReference w:id="14"/>
      </w:r>
      <w:r w:rsidR="00F81417" w:rsidRPr="006C42BE">
        <w:rPr>
          <w:rFonts w:ascii="Times New Roman" w:hAnsi="Times New Roman" w:cs="Times New Roman"/>
          <w:i/>
          <w:sz w:val="24"/>
          <w:szCs w:val="24"/>
        </w:rPr>
        <w:t xml:space="preserve">inclusivo </w:t>
      </w:r>
      <w:r w:rsidR="00F81417" w:rsidRPr="006C42BE">
        <w:rPr>
          <w:rFonts w:ascii="Times New Roman" w:hAnsi="Times New Roman" w:cs="Times New Roman"/>
          <w:sz w:val="24"/>
          <w:szCs w:val="24"/>
        </w:rPr>
        <w:t xml:space="preserve">(Garay, 2010; </w:t>
      </w:r>
      <w:r w:rsidR="00ED0F40" w:rsidRPr="006C42BE">
        <w:rPr>
          <w:rFonts w:ascii="Times New Roman" w:hAnsi="Times New Roman" w:cs="Times New Roman"/>
          <w:sz w:val="24"/>
          <w:szCs w:val="24"/>
        </w:rPr>
        <w:t>Rofman, 2013; OIT, 2015; Grassi, 2016). Puede</w:t>
      </w:r>
      <w:r w:rsidR="00F81417" w:rsidRPr="006C42BE">
        <w:rPr>
          <w:rFonts w:ascii="Times New Roman" w:hAnsi="Times New Roman" w:cs="Times New Roman"/>
          <w:sz w:val="24"/>
          <w:szCs w:val="24"/>
        </w:rPr>
        <w:t xml:space="preserve"> suponerse que la denominación</w:t>
      </w:r>
      <w:r w:rsidR="00ED0F40" w:rsidRPr="006C42BE">
        <w:rPr>
          <w:rFonts w:ascii="Times New Roman" w:hAnsi="Times New Roman" w:cs="Times New Roman"/>
          <w:sz w:val="24"/>
          <w:szCs w:val="24"/>
        </w:rPr>
        <w:t xml:space="preserve"> proviene principalmente </w:t>
      </w:r>
      <w:r w:rsidR="00F81417" w:rsidRPr="006C42BE">
        <w:rPr>
          <w:rFonts w:ascii="Times New Roman" w:hAnsi="Times New Roman" w:cs="Times New Roman"/>
          <w:sz w:val="24"/>
          <w:szCs w:val="24"/>
        </w:rPr>
        <w:t>del efecto expansiv</w:t>
      </w:r>
      <w:r w:rsidR="00ED0F40" w:rsidRPr="006C42BE">
        <w:rPr>
          <w:rFonts w:ascii="Times New Roman" w:hAnsi="Times New Roman" w:cs="Times New Roman"/>
          <w:sz w:val="24"/>
          <w:szCs w:val="24"/>
        </w:rPr>
        <w:t>o sobre la cobertura, compartido</w:t>
      </w:r>
      <w:r w:rsidR="00F81417" w:rsidRPr="006C42BE">
        <w:rPr>
          <w:rFonts w:ascii="Times New Roman" w:hAnsi="Times New Roman" w:cs="Times New Roman"/>
          <w:sz w:val="24"/>
          <w:szCs w:val="24"/>
        </w:rPr>
        <w:t xml:space="preserve"> por distintas políticas </w:t>
      </w:r>
      <w:commentRangeStart w:id="15"/>
      <w:r w:rsidR="00F81417" w:rsidRPr="006C42BE">
        <w:rPr>
          <w:rStyle w:val="Refdenotaalpie"/>
          <w:rFonts w:ascii="Times New Roman" w:hAnsi="Times New Roman" w:cs="Times New Roman"/>
          <w:sz w:val="24"/>
          <w:szCs w:val="24"/>
        </w:rPr>
        <w:footnoteReference w:id="10"/>
      </w:r>
      <w:r w:rsidR="00F81417" w:rsidRPr="006C42BE">
        <w:rPr>
          <w:rFonts w:ascii="Times New Roman" w:hAnsi="Times New Roman" w:cs="Times New Roman"/>
          <w:sz w:val="24"/>
          <w:szCs w:val="24"/>
        </w:rPr>
        <w:t>.</w:t>
      </w:r>
      <w:commentRangeEnd w:id="15"/>
      <w:r w:rsidR="00D9119A">
        <w:rPr>
          <w:rStyle w:val="Refdecomentario"/>
        </w:rPr>
        <w:commentReference w:id="15"/>
      </w:r>
      <w:r w:rsidR="00F81417" w:rsidRPr="006C42BE">
        <w:rPr>
          <w:rFonts w:ascii="Times New Roman" w:hAnsi="Times New Roman" w:cs="Times New Roman"/>
          <w:sz w:val="24"/>
          <w:szCs w:val="24"/>
        </w:rPr>
        <w:t xml:space="preserve"> Sin embargo, para ello fueron necesarias ciertas </w:t>
      </w:r>
      <w:r w:rsidR="00F81417" w:rsidRPr="006C42BE">
        <w:rPr>
          <w:rFonts w:ascii="Times New Roman" w:hAnsi="Times New Roman" w:cs="Times New Roman"/>
          <w:i/>
          <w:sz w:val="24"/>
          <w:szCs w:val="24"/>
        </w:rPr>
        <w:t>condiciones institucionales.</w:t>
      </w:r>
      <w:r w:rsidR="00F81417" w:rsidRPr="006C42BE">
        <w:rPr>
          <w:rFonts w:ascii="Times New Roman" w:hAnsi="Times New Roman" w:cs="Times New Roman"/>
          <w:sz w:val="24"/>
          <w:szCs w:val="24"/>
        </w:rPr>
        <w:t xml:space="preserve"> </w:t>
      </w:r>
    </w:p>
    <w:p w14:paraId="73E1BA85" w14:textId="77777777" w:rsidR="00F81417" w:rsidRPr="006C42BE" w:rsidRDefault="000022DE" w:rsidP="001E4181">
      <w:pPr>
        <w:spacing w:line="480" w:lineRule="auto"/>
        <w:ind w:left="-113"/>
        <w:rPr>
          <w:rFonts w:ascii="Times New Roman" w:hAnsi="Times New Roman" w:cs="Times New Roman"/>
          <w:sz w:val="24"/>
          <w:szCs w:val="24"/>
        </w:rPr>
      </w:pPr>
      <w:r>
        <w:rPr>
          <w:rFonts w:ascii="Times New Roman" w:hAnsi="Times New Roman" w:cs="Times New Roman"/>
          <w:sz w:val="24"/>
          <w:szCs w:val="24"/>
        </w:rPr>
        <w:t>T</w:t>
      </w:r>
      <w:r w:rsidR="00F81417" w:rsidRPr="006C42BE">
        <w:rPr>
          <w:rFonts w:ascii="Times New Roman" w:hAnsi="Times New Roman" w:cs="Times New Roman"/>
          <w:sz w:val="24"/>
          <w:szCs w:val="24"/>
        </w:rPr>
        <w:t xml:space="preserve">res movimientos </w:t>
      </w:r>
      <w:r w:rsidR="001B22AF" w:rsidRPr="006C42BE">
        <w:rPr>
          <w:rFonts w:ascii="Times New Roman" w:hAnsi="Times New Roman" w:cs="Times New Roman"/>
          <w:sz w:val="24"/>
          <w:szCs w:val="24"/>
        </w:rPr>
        <w:t xml:space="preserve">de distinta naturaleza </w:t>
      </w:r>
      <w:r w:rsidR="00F81417" w:rsidRPr="006C42BE">
        <w:rPr>
          <w:rFonts w:ascii="Times New Roman" w:hAnsi="Times New Roman" w:cs="Times New Roman"/>
          <w:sz w:val="24"/>
          <w:szCs w:val="24"/>
        </w:rPr>
        <w:t>atravesaron casi sin e</w:t>
      </w:r>
      <w:r w:rsidR="001B22AF" w:rsidRPr="006C42BE">
        <w:rPr>
          <w:rFonts w:ascii="Times New Roman" w:hAnsi="Times New Roman" w:cs="Times New Roman"/>
          <w:sz w:val="24"/>
          <w:szCs w:val="24"/>
        </w:rPr>
        <w:t>xcepción los distintos sectores</w:t>
      </w:r>
      <w:r w:rsidR="00F81417" w:rsidRPr="006C42BE">
        <w:rPr>
          <w:rFonts w:ascii="Times New Roman" w:hAnsi="Times New Roman" w:cs="Times New Roman"/>
          <w:sz w:val="24"/>
          <w:szCs w:val="24"/>
        </w:rPr>
        <w:t xml:space="preserve">: una “vocación” reformista (antineoliberal), la renacionalización de las políticas y la persistencia de la organización matricial (programas/proyectos). </w:t>
      </w:r>
      <w:r w:rsidR="001B22AF" w:rsidRPr="006C42BE">
        <w:rPr>
          <w:rFonts w:ascii="Times New Roman" w:hAnsi="Times New Roman" w:cs="Times New Roman"/>
          <w:sz w:val="24"/>
          <w:szCs w:val="24"/>
        </w:rPr>
        <w:t>D</w:t>
      </w:r>
      <w:r w:rsidR="00F81417" w:rsidRPr="006C42BE">
        <w:rPr>
          <w:rFonts w:ascii="Times New Roman" w:hAnsi="Times New Roman" w:cs="Times New Roman"/>
          <w:sz w:val="24"/>
          <w:szCs w:val="24"/>
        </w:rPr>
        <w:t xml:space="preserve">esarrollamos </w:t>
      </w:r>
      <w:r w:rsidR="00F81417" w:rsidRPr="006C42BE">
        <w:rPr>
          <w:rFonts w:ascii="Times New Roman" w:hAnsi="Times New Roman" w:cs="Times New Roman"/>
          <w:sz w:val="24"/>
          <w:szCs w:val="24"/>
        </w:rPr>
        <w:lastRenderedPageBreak/>
        <w:t>brevemente los rasgos de cada uno, sus conexiones/concreciones en ciertas constantes institucionales y en las acciones/estrategias desplegadas:</w:t>
      </w:r>
      <w:r w:rsidR="00F81417" w:rsidRPr="006C42BE">
        <w:rPr>
          <w:rStyle w:val="Refdenotaalpie"/>
          <w:rFonts w:ascii="Times New Roman" w:hAnsi="Times New Roman" w:cs="Times New Roman"/>
          <w:sz w:val="24"/>
          <w:szCs w:val="24"/>
        </w:rPr>
        <w:footnoteReference w:id="11"/>
      </w:r>
      <w:r w:rsidR="00F81417" w:rsidRPr="006C42BE">
        <w:rPr>
          <w:rFonts w:ascii="Times New Roman" w:hAnsi="Times New Roman" w:cs="Times New Roman"/>
          <w:sz w:val="24"/>
          <w:szCs w:val="24"/>
        </w:rPr>
        <w:t xml:space="preserve"> </w:t>
      </w:r>
    </w:p>
    <w:p w14:paraId="35BD7821"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todos los ministerios involucrados emprendieron </w:t>
      </w:r>
      <w:r w:rsidRPr="006C42BE">
        <w:rPr>
          <w:rFonts w:ascii="Times New Roman" w:hAnsi="Times New Roman" w:cs="Times New Roman"/>
          <w:i/>
          <w:sz w:val="24"/>
          <w:szCs w:val="24"/>
        </w:rPr>
        <w:t>reformas institucionales</w:t>
      </w:r>
      <w:r w:rsidRPr="006C42BE">
        <w:rPr>
          <w:rFonts w:ascii="Times New Roman" w:hAnsi="Times New Roman" w:cs="Times New Roman"/>
          <w:sz w:val="24"/>
          <w:szCs w:val="24"/>
        </w:rPr>
        <w:t xml:space="preserve"> en diferentes planos, desde el normativo formal macro (leyes</w:t>
      </w:r>
      <w:r w:rsidR="001B22AF" w:rsidRPr="006C42BE">
        <w:rPr>
          <w:rFonts w:ascii="Times New Roman" w:hAnsi="Times New Roman" w:cs="Times New Roman"/>
          <w:sz w:val="24"/>
          <w:szCs w:val="24"/>
        </w:rPr>
        <w:t>)</w:t>
      </w:r>
      <w:r w:rsidRPr="006C42BE">
        <w:rPr>
          <w:rFonts w:ascii="Times New Roman" w:hAnsi="Times New Roman" w:cs="Times New Roman"/>
          <w:sz w:val="24"/>
          <w:szCs w:val="24"/>
        </w:rPr>
        <w:t xml:space="preserve">, hasta el organizativo, </w:t>
      </w:r>
      <w:commentRangeStart w:id="16"/>
      <w:r w:rsidR="001B22AF" w:rsidRPr="006C42BE">
        <w:rPr>
          <w:rFonts w:ascii="Times New Roman" w:hAnsi="Times New Roman" w:cs="Times New Roman"/>
          <w:sz w:val="24"/>
          <w:szCs w:val="24"/>
        </w:rPr>
        <w:t>con</w:t>
      </w:r>
      <w:r w:rsidRPr="006C42BE">
        <w:rPr>
          <w:rFonts w:ascii="Times New Roman" w:hAnsi="Times New Roman" w:cs="Times New Roman"/>
          <w:sz w:val="24"/>
          <w:szCs w:val="24"/>
        </w:rPr>
        <w:t xml:space="preserve"> </w:t>
      </w:r>
      <w:commentRangeEnd w:id="16"/>
      <w:r w:rsidR="006372AB">
        <w:rPr>
          <w:rStyle w:val="Refdecomentario"/>
        </w:rPr>
        <w:commentReference w:id="16"/>
      </w:r>
      <w:r w:rsidRPr="006C42BE">
        <w:rPr>
          <w:rFonts w:ascii="Times New Roman" w:hAnsi="Times New Roman" w:cs="Times New Roman"/>
          <w:sz w:val="24"/>
          <w:szCs w:val="24"/>
        </w:rPr>
        <w:t xml:space="preserve">“blandos” </w:t>
      </w:r>
      <w:r w:rsidR="001B22AF" w:rsidRPr="006C42BE">
        <w:rPr>
          <w:rFonts w:ascii="Times New Roman" w:hAnsi="Times New Roman" w:cs="Times New Roman"/>
          <w:sz w:val="24"/>
          <w:szCs w:val="24"/>
        </w:rPr>
        <w:t xml:space="preserve">o técnicos </w:t>
      </w:r>
      <w:r w:rsidRPr="006C42BE">
        <w:rPr>
          <w:rFonts w:ascii="Times New Roman" w:hAnsi="Times New Roman" w:cs="Times New Roman"/>
          <w:sz w:val="24"/>
          <w:szCs w:val="24"/>
        </w:rPr>
        <w:t xml:space="preserve">(resoluciones, planes estratégicos). </w:t>
      </w:r>
      <w:r w:rsidR="001B22AF" w:rsidRPr="006C42BE">
        <w:rPr>
          <w:rFonts w:ascii="Times New Roman" w:hAnsi="Times New Roman" w:cs="Times New Roman"/>
          <w:sz w:val="24"/>
          <w:szCs w:val="24"/>
        </w:rPr>
        <w:t>Siempre se propusieron</w:t>
      </w:r>
      <w:r w:rsidRPr="006C42BE">
        <w:rPr>
          <w:rFonts w:ascii="Times New Roman" w:hAnsi="Times New Roman" w:cs="Times New Roman"/>
          <w:sz w:val="24"/>
          <w:szCs w:val="24"/>
        </w:rPr>
        <w:t xml:space="preserve"> desmontar las transformaciones </w:t>
      </w:r>
      <w:r w:rsidR="009A2DB1" w:rsidRPr="006C42BE">
        <w:rPr>
          <w:rFonts w:ascii="Times New Roman" w:hAnsi="Times New Roman" w:cs="Times New Roman"/>
          <w:sz w:val="24"/>
          <w:szCs w:val="24"/>
        </w:rPr>
        <w:t xml:space="preserve">centrales </w:t>
      </w:r>
      <w:r w:rsidRPr="006C42BE">
        <w:rPr>
          <w:rFonts w:ascii="Times New Roman" w:hAnsi="Times New Roman" w:cs="Times New Roman"/>
          <w:sz w:val="24"/>
          <w:szCs w:val="24"/>
        </w:rPr>
        <w:t xml:space="preserve">del ciclo </w:t>
      </w:r>
      <w:r w:rsidR="009A2DB1" w:rsidRPr="006C42BE">
        <w:rPr>
          <w:rFonts w:ascii="Times New Roman" w:hAnsi="Times New Roman" w:cs="Times New Roman"/>
          <w:sz w:val="24"/>
          <w:szCs w:val="24"/>
        </w:rPr>
        <w:t>anterior</w:t>
      </w:r>
      <w:r w:rsidRPr="006C42BE">
        <w:rPr>
          <w:rFonts w:ascii="Times New Roman" w:hAnsi="Times New Roman" w:cs="Times New Roman"/>
          <w:sz w:val="24"/>
          <w:szCs w:val="24"/>
        </w:rPr>
        <w:t xml:space="preserve">, </w:t>
      </w:r>
      <w:r w:rsidR="009A2DB1" w:rsidRPr="006C42BE">
        <w:rPr>
          <w:rFonts w:ascii="Times New Roman" w:hAnsi="Times New Roman" w:cs="Times New Roman"/>
          <w:sz w:val="24"/>
          <w:szCs w:val="24"/>
        </w:rPr>
        <w:t xml:space="preserve">pero </w:t>
      </w:r>
      <w:r w:rsidRPr="006C42BE">
        <w:rPr>
          <w:rFonts w:ascii="Times New Roman" w:hAnsi="Times New Roman" w:cs="Times New Roman"/>
          <w:sz w:val="24"/>
          <w:szCs w:val="24"/>
        </w:rPr>
        <w:t xml:space="preserve">no se redujeron a ellas, </w:t>
      </w:r>
      <w:r w:rsidR="009A2DB1" w:rsidRPr="006C42BE">
        <w:rPr>
          <w:rFonts w:ascii="Times New Roman" w:hAnsi="Times New Roman" w:cs="Times New Roman"/>
          <w:sz w:val="24"/>
          <w:szCs w:val="24"/>
        </w:rPr>
        <w:t>extendiéndose</w:t>
      </w:r>
      <w:r w:rsidRPr="006C42BE">
        <w:rPr>
          <w:rFonts w:ascii="Times New Roman" w:hAnsi="Times New Roman" w:cs="Times New Roman"/>
          <w:sz w:val="24"/>
          <w:szCs w:val="24"/>
        </w:rPr>
        <w:t xml:space="preserve"> a instituciones de más larga data. En ese camino, el </w:t>
      </w:r>
      <w:r w:rsidRPr="006C42BE">
        <w:rPr>
          <w:rFonts w:ascii="Times New Roman" w:hAnsi="Times New Roman" w:cs="Times New Roman"/>
          <w:i/>
          <w:sz w:val="24"/>
          <w:szCs w:val="24"/>
        </w:rPr>
        <w:t>Ministerio de Trabajo</w:t>
      </w:r>
      <w:r w:rsidRPr="006C42BE">
        <w:rPr>
          <w:rFonts w:ascii="Times New Roman" w:hAnsi="Times New Roman" w:cs="Times New Roman"/>
          <w:sz w:val="24"/>
          <w:szCs w:val="24"/>
        </w:rPr>
        <w:t xml:space="preserve"> desarrolló una profunda reforma/renovación legislativa (37 leyes</w:t>
      </w:r>
      <w:r w:rsidR="009A2DB1" w:rsidRPr="006C42BE">
        <w:rPr>
          <w:rFonts w:ascii="Times New Roman" w:hAnsi="Times New Roman" w:cs="Times New Roman"/>
          <w:sz w:val="24"/>
          <w:szCs w:val="24"/>
        </w:rPr>
        <w:t>)</w:t>
      </w:r>
      <w:r w:rsidRPr="006C42BE">
        <w:rPr>
          <w:rFonts w:ascii="Times New Roman" w:hAnsi="Times New Roman" w:cs="Times New Roman"/>
          <w:sz w:val="24"/>
          <w:szCs w:val="24"/>
        </w:rPr>
        <w:t xml:space="preserve">; el rango constitucional de las relaciones laborales y su denso entramado jurídico explican ese rasgo </w:t>
      </w:r>
      <w:r w:rsidRPr="006C42BE">
        <w:rPr>
          <w:rFonts w:ascii="Times New Roman" w:hAnsi="Times New Roman" w:cs="Times New Roman"/>
          <w:sz w:val="24"/>
          <w:szCs w:val="24"/>
          <w:u w:val="single"/>
        </w:rPr>
        <w:t>(</w:t>
      </w:r>
      <w:r w:rsidRPr="006C42BE">
        <w:rPr>
          <w:rFonts w:ascii="Times New Roman" w:hAnsi="Times New Roman" w:cs="Times New Roman"/>
          <w:sz w:val="24"/>
          <w:szCs w:val="24"/>
        </w:rPr>
        <w:t xml:space="preserve">Marshall, 2000). El </w:t>
      </w:r>
      <w:r w:rsidRPr="006C42BE">
        <w:rPr>
          <w:rFonts w:ascii="Times New Roman" w:hAnsi="Times New Roman" w:cs="Times New Roman"/>
          <w:i/>
          <w:sz w:val="24"/>
          <w:szCs w:val="24"/>
        </w:rPr>
        <w:t>área sanitaria</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emprendió </w:t>
      </w:r>
      <w:r w:rsidRPr="006C42BE">
        <w:rPr>
          <w:rFonts w:ascii="Times New Roman" w:hAnsi="Times New Roman" w:cs="Times New Roman"/>
          <w:sz w:val="24"/>
          <w:szCs w:val="24"/>
        </w:rPr>
        <w:t>acciones desde los críticos años 2002</w:t>
      </w:r>
      <w:r w:rsidR="006E1F11" w:rsidRPr="006C42BE">
        <w:rPr>
          <w:rFonts w:ascii="Times New Roman" w:hAnsi="Times New Roman" w:cs="Times New Roman"/>
          <w:sz w:val="24"/>
          <w:szCs w:val="24"/>
        </w:rPr>
        <w:t>-3</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Particularidad a observar para evitar interpretaciones equivocadas: esas intervenciones de sostén/auxilio a menudo </w:t>
      </w:r>
      <w:r w:rsidRPr="006C42BE">
        <w:rPr>
          <w:rFonts w:ascii="Times New Roman" w:hAnsi="Times New Roman" w:cs="Times New Roman"/>
          <w:sz w:val="24"/>
          <w:szCs w:val="24"/>
        </w:rPr>
        <w:t>alcanz</w:t>
      </w:r>
      <w:r w:rsidR="001430A2" w:rsidRPr="006C42BE">
        <w:rPr>
          <w:rFonts w:ascii="Times New Roman" w:hAnsi="Times New Roman" w:cs="Times New Roman"/>
          <w:sz w:val="24"/>
          <w:szCs w:val="24"/>
        </w:rPr>
        <w:t xml:space="preserve">aron a </w:t>
      </w:r>
      <w:r w:rsidRPr="006C42BE">
        <w:rPr>
          <w:rFonts w:ascii="Times New Roman" w:hAnsi="Times New Roman" w:cs="Times New Roman"/>
          <w:sz w:val="24"/>
          <w:szCs w:val="24"/>
        </w:rPr>
        <w:t xml:space="preserve">instituciones </w:t>
      </w:r>
      <w:r w:rsidR="001430A2" w:rsidRPr="006C42BE">
        <w:rPr>
          <w:rFonts w:ascii="Times New Roman" w:hAnsi="Times New Roman" w:cs="Times New Roman"/>
          <w:sz w:val="24"/>
          <w:szCs w:val="24"/>
        </w:rPr>
        <w:t xml:space="preserve">privadas y </w:t>
      </w:r>
      <w:r w:rsidRPr="006C42BE">
        <w:rPr>
          <w:rFonts w:ascii="Times New Roman" w:hAnsi="Times New Roman" w:cs="Times New Roman"/>
          <w:sz w:val="24"/>
          <w:szCs w:val="24"/>
        </w:rPr>
        <w:t>de la seguridad social</w:t>
      </w:r>
      <w:r w:rsidR="001430A2" w:rsidRPr="006C42BE">
        <w:rPr>
          <w:rFonts w:ascii="Times New Roman" w:hAnsi="Times New Roman" w:cs="Times New Roman"/>
          <w:sz w:val="24"/>
          <w:szCs w:val="24"/>
        </w:rPr>
        <w:t xml:space="preserve">, ya </w:t>
      </w:r>
      <w:r w:rsidRPr="006C42BE">
        <w:rPr>
          <w:rFonts w:ascii="Times New Roman" w:hAnsi="Times New Roman" w:cs="Times New Roman"/>
          <w:sz w:val="24"/>
          <w:szCs w:val="24"/>
        </w:rPr>
        <w:t xml:space="preserve">que si el colapso continuaba, las </w:t>
      </w:r>
      <w:r w:rsidR="009A1D0F" w:rsidRPr="006C42BE">
        <w:rPr>
          <w:rFonts w:ascii="Times New Roman" w:hAnsi="Times New Roman" w:cs="Times New Roman"/>
          <w:sz w:val="24"/>
          <w:szCs w:val="24"/>
        </w:rPr>
        <w:t xml:space="preserve">públicas no </w:t>
      </w:r>
      <w:r w:rsidR="001430A2" w:rsidRPr="006C42BE">
        <w:rPr>
          <w:rFonts w:ascii="Times New Roman" w:hAnsi="Times New Roman" w:cs="Times New Roman"/>
          <w:sz w:val="24"/>
          <w:szCs w:val="24"/>
        </w:rPr>
        <w:t xml:space="preserve">podrían </w:t>
      </w:r>
      <w:r w:rsidR="009A1D0F" w:rsidRPr="006C42BE">
        <w:rPr>
          <w:rFonts w:ascii="Times New Roman" w:hAnsi="Times New Roman" w:cs="Times New Roman"/>
          <w:sz w:val="24"/>
          <w:szCs w:val="24"/>
        </w:rPr>
        <w:t>absorber</w:t>
      </w:r>
      <w:r w:rsidR="001430A2" w:rsidRPr="006C42BE">
        <w:rPr>
          <w:rFonts w:ascii="Times New Roman" w:hAnsi="Times New Roman" w:cs="Times New Roman"/>
          <w:sz w:val="24"/>
          <w:szCs w:val="24"/>
        </w:rPr>
        <w:t xml:space="preserve"> más</w:t>
      </w:r>
      <w:r w:rsidRPr="006C42BE">
        <w:rPr>
          <w:rFonts w:ascii="Times New Roman" w:hAnsi="Times New Roman" w:cs="Times New Roman"/>
          <w:sz w:val="24"/>
          <w:szCs w:val="24"/>
        </w:rPr>
        <w:t xml:space="preserve"> demanda. Posteriormente, las “energías reformistas” buscaron robustecer el  alcance de la atención pública. En esa secuen</w:t>
      </w:r>
      <w:r w:rsidR="001430A2" w:rsidRPr="006C42BE">
        <w:rPr>
          <w:rFonts w:ascii="Times New Roman" w:hAnsi="Times New Roman" w:cs="Times New Roman"/>
          <w:sz w:val="24"/>
          <w:szCs w:val="24"/>
        </w:rPr>
        <w:t>cia la producción normativa (</w:t>
      </w:r>
      <w:r w:rsidRPr="006C42BE">
        <w:rPr>
          <w:rFonts w:ascii="Times New Roman" w:hAnsi="Times New Roman" w:cs="Times New Roman"/>
          <w:sz w:val="24"/>
          <w:szCs w:val="24"/>
        </w:rPr>
        <w:t xml:space="preserve">general y organizacional) también fue profusa. Muchas veces apoyada en las orientaciones </w:t>
      </w:r>
      <w:r w:rsidR="001430A2" w:rsidRPr="006C42BE">
        <w:rPr>
          <w:rFonts w:ascii="Times New Roman" w:hAnsi="Times New Roman" w:cs="Times New Roman"/>
          <w:sz w:val="24"/>
          <w:szCs w:val="24"/>
        </w:rPr>
        <w:t>de organismos como OMS y OPS –</w:t>
      </w:r>
      <w:r w:rsidRPr="006C42BE">
        <w:rPr>
          <w:rFonts w:ascii="Times New Roman" w:hAnsi="Times New Roman" w:cs="Times New Roman"/>
          <w:sz w:val="24"/>
          <w:szCs w:val="24"/>
        </w:rPr>
        <w:t xml:space="preserve">en otras, </w:t>
      </w:r>
      <w:r w:rsidR="001430A2" w:rsidRPr="006C42BE">
        <w:rPr>
          <w:rFonts w:ascii="Times New Roman" w:hAnsi="Times New Roman" w:cs="Times New Roman"/>
          <w:sz w:val="24"/>
          <w:szCs w:val="24"/>
        </w:rPr>
        <w:t xml:space="preserve">incluso </w:t>
      </w:r>
      <w:r w:rsidRPr="006C42BE">
        <w:rPr>
          <w:rFonts w:ascii="Times New Roman" w:hAnsi="Times New Roman" w:cs="Times New Roman"/>
          <w:sz w:val="24"/>
          <w:szCs w:val="24"/>
        </w:rPr>
        <w:t>estimul</w:t>
      </w:r>
      <w:r w:rsidR="001430A2" w:rsidRPr="006C42BE">
        <w:rPr>
          <w:rFonts w:ascii="Times New Roman" w:hAnsi="Times New Roman" w:cs="Times New Roman"/>
          <w:sz w:val="24"/>
          <w:szCs w:val="24"/>
        </w:rPr>
        <w:t>á</w:t>
      </w:r>
      <w:r w:rsidRPr="006C42BE">
        <w:rPr>
          <w:rFonts w:ascii="Times New Roman" w:hAnsi="Times New Roman" w:cs="Times New Roman"/>
          <w:sz w:val="24"/>
          <w:szCs w:val="24"/>
        </w:rPr>
        <w:t>ndo</w:t>
      </w:r>
      <w:r w:rsidR="001430A2" w:rsidRPr="006C42BE">
        <w:rPr>
          <w:rFonts w:ascii="Times New Roman" w:hAnsi="Times New Roman" w:cs="Times New Roman"/>
          <w:sz w:val="24"/>
          <w:szCs w:val="24"/>
        </w:rPr>
        <w:t>las</w:t>
      </w:r>
      <w:r w:rsidRPr="006C42BE">
        <w:rPr>
          <w:rFonts w:ascii="Times New Roman" w:hAnsi="Times New Roman" w:cs="Times New Roman"/>
          <w:sz w:val="24"/>
          <w:szCs w:val="24"/>
        </w:rPr>
        <w:t xml:space="preserve">- la actividad legislativa sanitaria pretendió  regular/imponer responsabilidades a los agentes de las distintas coberturas (seguros sociales y seguros de mercado). </w:t>
      </w:r>
    </w:p>
    <w:p w14:paraId="40B64E8C" w14:textId="77777777" w:rsidR="00A26124"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número de leyes del </w:t>
      </w:r>
      <w:r w:rsidRPr="006C42BE">
        <w:rPr>
          <w:rFonts w:ascii="Times New Roman" w:hAnsi="Times New Roman" w:cs="Times New Roman"/>
          <w:i/>
          <w:sz w:val="24"/>
          <w:szCs w:val="24"/>
        </w:rPr>
        <w:t>sector educativo</w:t>
      </w:r>
      <w:r w:rsidRPr="006C42BE">
        <w:rPr>
          <w:rFonts w:ascii="Times New Roman" w:hAnsi="Times New Roman" w:cs="Times New Roman"/>
          <w:sz w:val="24"/>
          <w:szCs w:val="24"/>
        </w:rPr>
        <w:t xml:space="preserve"> también fue significativo, pero comenzó en la pos-crisis</w:t>
      </w:r>
      <w:r w:rsidR="005A0F0B" w:rsidRPr="006C42BE">
        <w:rPr>
          <w:rFonts w:ascii="Times New Roman" w:hAnsi="Times New Roman" w:cs="Times New Roman"/>
          <w:sz w:val="24"/>
          <w:szCs w:val="24"/>
        </w:rPr>
        <w:t>, distinguiéndose por</w:t>
      </w:r>
      <w:r w:rsidRPr="006C42BE">
        <w:rPr>
          <w:rFonts w:ascii="Times New Roman" w:hAnsi="Times New Roman" w:cs="Times New Roman"/>
          <w:sz w:val="24"/>
          <w:szCs w:val="24"/>
        </w:rPr>
        <w:t xml:space="preserve"> sus contenidos estructurales: </w:t>
      </w:r>
      <w:r w:rsidR="005A0F0B"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diagnóstico</w:t>
      </w:r>
      <w:r w:rsidR="005A0F0B"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“lo institucional” </w:t>
      </w:r>
      <w:r w:rsidR="005A0F0B" w:rsidRPr="006C42BE">
        <w:rPr>
          <w:rFonts w:ascii="Times New Roman" w:hAnsi="Times New Roman" w:cs="Times New Roman"/>
          <w:sz w:val="24"/>
          <w:szCs w:val="24"/>
        </w:rPr>
        <w:t>era</w:t>
      </w:r>
      <w:r w:rsidRPr="006C42BE">
        <w:rPr>
          <w:rFonts w:ascii="Times New Roman" w:hAnsi="Times New Roman" w:cs="Times New Roman"/>
          <w:sz w:val="24"/>
          <w:szCs w:val="24"/>
        </w:rPr>
        <w:t xml:space="preserve"> un ámbito de intervención tan trascendente como las condiciones sociales sobre las que actúa el sector (</w:t>
      </w:r>
      <w:r w:rsidRPr="006C42BE">
        <w:rPr>
          <w:rFonts w:ascii="Times New Roman" w:hAnsi="Times New Roman" w:cs="Times New Roman"/>
          <w:i/>
          <w:sz w:val="24"/>
          <w:szCs w:val="24"/>
        </w:rPr>
        <w:t xml:space="preserve">la educación y las condiciones para </w:t>
      </w:r>
      <w:r w:rsidR="005A0F0B" w:rsidRPr="006C42BE">
        <w:rPr>
          <w:rFonts w:ascii="Times New Roman" w:hAnsi="Times New Roman" w:cs="Times New Roman"/>
          <w:i/>
          <w:sz w:val="24"/>
          <w:szCs w:val="24"/>
        </w:rPr>
        <w:t>el</w:t>
      </w:r>
      <w:r w:rsidRPr="006C42BE">
        <w:rPr>
          <w:rFonts w:ascii="Times New Roman" w:hAnsi="Times New Roman" w:cs="Times New Roman"/>
          <w:i/>
          <w:sz w:val="24"/>
          <w:szCs w:val="24"/>
        </w:rPr>
        <w:t>la</w:t>
      </w:r>
      <w:r w:rsidRPr="006C42BE">
        <w:rPr>
          <w:rFonts w:ascii="Times New Roman" w:hAnsi="Times New Roman" w:cs="Times New Roman"/>
          <w:sz w:val="24"/>
          <w:szCs w:val="24"/>
        </w:rPr>
        <w:t xml:space="preserve">). </w:t>
      </w:r>
      <w:r w:rsidR="005A0F0B" w:rsidRPr="006C42BE">
        <w:rPr>
          <w:rFonts w:ascii="Times New Roman" w:hAnsi="Times New Roman" w:cs="Times New Roman"/>
          <w:sz w:val="24"/>
          <w:szCs w:val="24"/>
        </w:rPr>
        <w:t xml:space="preserve">La </w:t>
      </w:r>
      <w:r w:rsidR="005A0F0B" w:rsidRPr="006C42BE">
        <w:rPr>
          <w:rFonts w:ascii="Times New Roman" w:hAnsi="Times New Roman" w:cs="Times New Roman"/>
          <w:sz w:val="24"/>
          <w:szCs w:val="24"/>
        </w:rPr>
        <w:lastRenderedPageBreak/>
        <w:t xml:space="preserve">nutrida legislación del </w:t>
      </w:r>
      <w:r w:rsidRPr="006C42BE">
        <w:rPr>
          <w:rFonts w:ascii="Times New Roman" w:hAnsi="Times New Roman" w:cs="Times New Roman"/>
          <w:i/>
          <w:sz w:val="24"/>
          <w:szCs w:val="24"/>
        </w:rPr>
        <w:t>sector asistencial</w:t>
      </w:r>
      <w:r w:rsidR="005A0F0B" w:rsidRPr="006C42BE">
        <w:rPr>
          <w:rFonts w:ascii="Times New Roman" w:hAnsi="Times New Roman" w:cs="Times New Roman"/>
          <w:i/>
          <w:sz w:val="24"/>
          <w:szCs w:val="24"/>
        </w:rPr>
        <w:t xml:space="preserve">, </w:t>
      </w:r>
      <w:r w:rsidR="005A0F0B" w:rsidRPr="006C42BE">
        <w:rPr>
          <w:rFonts w:ascii="Times New Roman" w:hAnsi="Times New Roman" w:cs="Times New Roman"/>
          <w:sz w:val="24"/>
          <w:szCs w:val="24"/>
        </w:rPr>
        <w:t>a cargo d</w:t>
      </w: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Ministerio de Desarrollo Social</w:t>
      </w:r>
      <w:r w:rsidR="005A0F0B" w:rsidRPr="006C42BE">
        <w:rPr>
          <w:rFonts w:ascii="Times New Roman" w:hAnsi="Times New Roman" w:cs="Times New Roman"/>
          <w:i/>
          <w:sz w:val="24"/>
          <w:szCs w:val="24"/>
        </w:rPr>
        <w:t>,</w:t>
      </w:r>
      <w:r w:rsidRPr="006C42BE">
        <w:rPr>
          <w:rFonts w:ascii="Times New Roman" w:hAnsi="Times New Roman" w:cs="Times New Roman"/>
          <w:i/>
          <w:sz w:val="24"/>
          <w:szCs w:val="24"/>
        </w:rPr>
        <w:t xml:space="preserve"> (MDS)</w:t>
      </w:r>
      <w:r w:rsidRPr="006C42BE">
        <w:rPr>
          <w:rFonts w:ascii="Times New Roman" w:hAnsi="Times New Roman" w:cs="Times New Roman"/>
          <w:sz w:val="24"/>
          <w:szCs w:val="24"/>
        </w:rPr>
        <w:t xml:space="preserve">, tuvo por objetivo casi exclusivo investir a grupos específicos de derechos </w:t>
      </w:r>
      <w:r w:rsidR="005A0F0B" w:rsidRPr="006C42BE">
        <w:rPr>
          <w:rFonts w:ascii="Times New Roman" w:hAnsi="Times New Roman" w:cs="Times New Roman"/>
          <w:sz w:val="24"/>
          <w:szCs w:val="24"/>
        </w:rPr>
        <w:t xml:space="preserve">jurídicamente </w:t>
      </w:r>
      <w:r w:rsidRPr="006C42BE">
        <w:rPr>
          <w:rFonts w:ascii="Times New Roman" w:hAnsi="Times New Roman" w:cs="Times New Roman"/>
          <w:sz w:val="24"/>
          <w:szCs w:val="24"/>
        </w:rPr>
        <w:t>consagrados (comunidades indígenas, NNyA</w:t>
      </w:r>
      <w:r w:rsidR="005A0F0B" w:rsidRPr="006C42BE">
        <w:rPr>
          <w:rFonts w:ascii="Times New Roman" w:hAnsi="Times New Roman" w:cs="Times New Roman"/>
          <w:sz w:val="24"/>
          <w:szCs w:val="24"/>
        </w:rPr>
        <w:t>, mujeres</w:t>
      </w:r>
      <w:r w:rsidRPr="006C42BE">
        <w:rPr>
          <w:rFonts w:ascii="Times New Roman" w:hAnsi="Times New Roman" w:cs="Times New Roman"/>
          <w:sz w:val="24"/>
          <w:szCs w:val="24"/>
        </w:rPr>
        <w:t xml:space="preserve">). Por último, </w:t>
      </w:r>
      <w:r w:rsidRPr="006C42BE">
        <w:rPr>
          <w:rFonts w:ascii="Times New Roman" w:hAnsi="Times New Roman" w:cs="Times New Roman"/>
          <w:i/>
          <w:sz w:val="24"/>
          <w:szCs w:val="24"/>
        </w:rPr>
        <w:t>la Seguridad Social</w:t>
      </w:r>
      <w:r w:rsidRPr="006C42BE">
        <w:rPr>
          <w:rFonts w:ascii="Times New Roman" w:hAnsi="Times New Roman" w:cs="Times New Roman"/>
          <w:sz w:val="24"/>
          <w:szCs w:val="24"/>
        </w:rPr>
        <w:t xml:space="preserve"> encarnó todas las tendencias en máxima expresión: </w:t>
      </w:r>
      <w:r w:rsidR="00A26124" w:rsidRPr="006C42BE">
        <w:rPr>
          <w:rFonts w:ascii="Times New Roman" w:hAnsi="Times New Roman" w:cs="Times New Roman"/>
          <w:sz w:val="24"/>
          <w:szCs w:val="24"/>
        </w:rPr>
        <w:t xml:space="preserve">legislación tanto </w:t>
      </w:r>
      <w:r w:rsidRPr="006C42BE">
        <w:rPr>
          <w:rFonts w:ascii="Times New Roman" w:hAnsi="Times New Roman" w:cs="Times New Roman"/>
          <w:sz w:val="24"/>
          <w:szCs w:val="24"/>
        </w:rPr>
        <w:t xml:space="preserve">estructural </w:t>
      </w:r>
      <w:r w:rsidR="00A26124" w:rsidRPr="006C42BE">
        <w:rPr>
          <w:rFonts w:ascii="Times New Roman" w:hAnsi="Times New Roman" w:cs="Times New Roman"/>
          <w:sz w:val="24"/>
          <w:szCs w:val="24"/>
        </w:rPr>
        <w:t xml:space="preserve">(cambio de sistema) </w:t>
      </w:r>
      <w:r w:rsidRPr="006C42BE">
        <w:rPr>
          <w:rFonts w:ascii="Times New Roman" w:hAnsi="Times New Roman" w:cs="Times New Roman"/>
          <w:sz w:val="24"/>
          <w:szCs w:val="24"/>
        </w:rPr>
        <w:t>como dirigida a delimitar población destinataria de nuevos beneficios; normativa “blanda” (planes</w:t>
      </w:r>
      <w:r w:rsidR="00A26124" w:rsidRPr="006C42BE">
        <w:rPr>
          <w:rFonts w:ascii="Times New Roman" w:hAnsi="Times New Roman" w:cs="Times New Roman"/>
          <w:sz w:val="24"/>
          <w:szCs w:val="24"/>
        </w:rPr>
        <w:t>/</w:t>
      </w:r>
      <w:r w:rsidRPr="006C42BE">
        <w:rPr>
          <w:rFonts w:ascii="Times New Roman" w:hAnsi="Times New Roman" w:cs="Times New Roman"/>
          <w:sz w:val="24"/>
          <w:szCs w:val="24"/>
        </w:rPr>
        <w:t xml:space="preserve">reformas internas </w:t>
      </w:r>
      <w:r w:rsidR="00A26124" w:rsidRPr="006C42BE">
        <w:rPr>
          <w:rFonts w:ascii="Times New Roman" w:hAnsi="Times New Roman" w:cs="Times New Roman"/>
          <w:sz w:val="24"/>
          <w:szCs w:val="24"/>
        </w:rPr>
        <w:t>de</w:t>
      </w:r>
      <w:r w:rsidRPr="006C42BE">
        <w:rPr>
          <w:rFonts w:ascii="Times New Roman" w:hAnsi="Times New Roman" w:cs="Times New Roman"/>
          <w:sz w:val="24"/>
          <w:szCs w:val="24"/>
        </w:rPr>
        <w:t xml:space="preserve"> ANSES</w:t>
      </w:r>
      <w:r w:rsidR="00A26124" w:rsidRPr="006C42BE">
        <w:rPr>
          <w:rFonts w:ascii="Times New Roman" w:hAnsi="Times New Roman" w:cs="Times New Roman"/>
          <w:sz w:val="24"/>
          <w:szCs w:val="24"/>
        </w:rPr>
        <w:t>, institución central</w:t>
      </w:r>
      <w:r w:rsidRPr="006C42BE">
        <w:rPr>
          <w:rFonts w:ascii="Times New Roman" w:hAnsi="Times New Roman" w:cs="Times New Roman"/>
          <w:sz w:val="24"/>
          <w:szCs w:val="24"/>
        </w:rPr>
        <w:t xml:space="preserve">). </w:t>
      </w:r>
      <w:r w:rsidR="00A26124" w:rsidRPr="006C42BE">
        <w:rPr>
          <w:rFonts w:ascii="Times New Roman" w:hAnsi="Times New Roman" w:cs="Times New Roman"/>
          <w:sz w:val="24"/>
          <w:szCs w:val="24"/>
        </w:rPr>
        <w:t>Los procedimientos puntuales variaron: en algunos casos fueron iniciados regularmente como proyectos del Ejecutivo y en otros, por vías de excepción, luego normalizadas por ley</w:t>
      </w:r>
    </w:p>
    <w:p w14:paraId="2CF0326B" w14:textId="77777777"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 R</w:t>
      </w:r>
      <w:r w:rsidRPr="006C42BE">
        <w:rPr>
          <w:rFonts w:ascii="Times New Roman" w:hAnsi="Times New Roman" w:cs="Times New Roman"/>
          <w:i/>
          <w:sz w:val="24"/>
          <w:szCs w:val="24"/>
        </w:rPr>
        <w:t xml:space="preserve">egreso del Estado Nacional a la arena de los servicios. </w:t>
      </w:r>
      <w:r w:rsidRPr="006C42BE">
        <w:rPr>
          <w:rFonts w:ascii="Times New Roman" w:hAnsi="Times New Roman" w:cs="Times New Roman"/>
          <w:sz w:val="24"/>
          <w:szCs w:val="24"/>
        </w:rPr>
        <w:t xml:space="preserve">Respecto de los cambios institucionales, fue la estrategia más importante y por eso la presentamos separadamente. Consistió en un desplazamiento –variable- del centro de gravedad de las acciones sectoriales, desde la descentralización radical de los años 1990, a una recomposición de la Nación/lo nacional, en todo el circuito de las políticas y en el marco de una progresiva creación de derechos y de demandas de garantías (Chiara, Crojethovic y Ariovich, 2017; Gluz, Diyarian y Rodríguez Moyano, 2017). La pretensión de reconstituir la institucionalidad nacional fue </w:t>
      </w:r>
      <w:r w:rsidRPr="00AD67D1">
        <w:rPr>
          <w:rFonts w:ascii="Times New Roman" w:hAnsi="Times New Roman" w:cs="Times New Roman"/>
          <w:sz w:val="24"/>
          <w:szCs w:val="24"/>
          <w:highlight w:val="yellow"/>
        </w:rPr>
        <w:t>esencialmente compatible con la contra-reforma neoliberal,</w:t>
      </w:r>
      <w:r w:rsidRPr="006C42BE">
        <w:rPr>
          <w:rFonts w:ascii="Times New Roman" w:hAnsi="Times New Roman" w:cs="Times New Roman"/>
          <w:sz w:val="24"/>
          <w:szCs w:val="24"/>
        </w:rPr>
        <w:t xml:space="preserve"> bajo la declaración de que era necesario un “estado de y para todos </w:t>
      </w:r>
      <w:r w:rsidRPr="006C42BE">
        <w:rPr>
          <w:rFonts w:ascii="Times New Roman" w:hAnsi="Times New Roman" w:cs="Times New Roman"/>
          <w:i/>
          <w:sz w:val="24"/>
          <w:szCs w:val="24"/>
        </w:rPr>
        <w:t>en todo el país</w:t>
      </w:r>
      <w:r w:rsidRPr="006C42BE">
        <w:rPr>
          <w:rFonts w:ascii="Times New Roman" w:hAnsi="Times New Roman" w:cs="Times New Roman"/>
          <w:sz w:val="24"/>
          <w:szCs w:val="24"/>
        </w:rPr>
        <w:t>”.</w:t>
      </w:r>
    </w:p>
    <w:p w14:paraId="15CAF962" w14:textId="77777777"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Nuevamente las estrategias de re-</w:t>
      </w:r>
      <w:r w:rsidRPr="006C42BE">
        <w:rPr>
          <w:rFonts w:ascii="Times New Roman" w:hAnsi="Times New Roman" w:cs="Times New Roman"/>
          <w:i/>
          <w:sz w:val="24"/>
          <w:szCs w:val="24"/>
        </w:rPr>
        <w:t>nacionalización</w:t>
      </w:r>
      <w:r w:rsidRPr="006C42BE">
        <w:rPr>
          <w:rFonts w:ascii="Times New Roman" w:hAnsi="Times New Roman" w:cs="Times New Roman"/>
          <w:sz w:val="24"/>
          <w:szCs w:val="24"/>
        </w:rPr>
        <w:t xml:space="preserve"> se diferenciaron sectorialmente. El cuadro 1 presenta un esquema de tres acciones: </w:t>
      </w:r>
      <w:r w:rsidRPr="006C42BE">
        <w:rPr>
          <w:rFonts w:ascii="Times New Roman" w:hAnsi="Times New Roman" w:cs="Times New Roman"/>
          <w:i/>
          <w:sz w:val="24"/>
          <w:szCs w:val="24"/>
        </w:rPr>
        <w:t>acciones nacionales regulares, con funciones propias y presencia física en provincias</w:t>
      </w:r>
      <w:r w:rsidRPr="006C42BE">
        <w:rPr>
          <w:rFonts w:ascii="Times New Roman" w:hAnsi="Times New Roman" w:cs="Times New Roman"/>
          <w:sz w:val="24"/>
          <w:szCs w:val="24"/>
        </w:rPr>
        <w:t>. Allí se hallan organismos como ANSES, cuyo peso creció exponencialmente mediante operatorias especiales de gran escala</w:t>
      </w:r>
      <w:r w:rsidRPr="006C42BE">
        <w:rPr>
          <w:rStyle w:val="Refdenotaalpie"/>
          <w:rFonts w:ascii="Times New Roman" w:hAnsi="Times New Roman" w:cs="Times New Roman"/>
          <w:sz w:val="24"/>
          <w:szCs w:val="24"/>
        </w:rPr>
        <w:footnoteReference w:id="12"/>
      </w:r>
      <w:r w:rsidRPr="006C42BE">
        <w:rPr>
          <w:rFonts w:ascii="Times New Roman" w:hAnsi="Times New Roman" w:cs="Times New Roman"/>
          <w:sz w:val="24"/>
          <w:szCs w:val="24"/>
        </w:rPr>
        <w:t xml:space="preserve">, pero con tareas rutinarias (moratorias previsionales, reforma de asignaciones </w:t>
      </w:r>
      <w:r w:rsidRPr="006C42BE">
        <w:rPr>
          <w:rFonts w:ascii="Times New Roman" w:hAnsi="Times New Roman" w:cs="Times New Roman"/>
          <w:sz w:val="24"/>
          <w:szCs w:val="24"/>
        </w:rPr>
        <w:lastRenderedPageBreak/>
        <w:t>familiares/AUH) y con despliegue territorial. Guardó similitud la creación de universidades nacionales en territorios que no contaban con ellas; y en el mismo campo educativo el Programa CONECTAR IGUALDAD –de entrega de notebooks a estudiantes de escuelas primarias y secundarias- generó dispositivos con presencia de organismos nacionales como ANSES y de equipos en actividades pedagógicas para la superación de la “brecha digital”. Un campo privilegiado fueron las inspecciones laborales, actividades abandonadas en la década anterior y reactivadas desde 2003, cuando los inspectores ministeriales pasaron de 22 a 548 en todo el país en 2013</w:t>
      </w:r>
      <w:r w:rsidRPr="006C42BE">
        <w:rPr>
          <w:rStyle w:val="Refdenotaalpie"/>
          <w:rFonts w:ascii="Times New Roman" w:hAnsi="Times New Roman" w:cs="Times New Roman"/>
          <w:sz w:val="24"/>
          <w:szCs w:val="24"/>
        </w:rPr>
        <w:footnoteReference w:id="13"/>
      </w:r>
      <w:r w:rsidRPr="006C42BE">
        <w:rPr>
          <w:rFonts w:ascii="Times New Roman" w:hAnsi="Times New Roman" w:cs="Times New Roman"/>
          <w:sz w:val="24"/>
          <w:szCs w:val="24"/>
        </w:rPr>
        <w:t xml:space="preserve">. </w:t>
      </w:r>
    </w:p>
    <w:p w14:paraId="26CDD528" w14:textId="77777777"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Un segundo tipo de acción central/nacional fueron </w:t>
      </w:r>
      <w:r w:rsidRPr="006C42BE">
        <w:rPr>
          <w:rFonts w:ascii="Times New Roman" w:hAnsi="Times New Roman" w:cs="Times New Roman"/>
          <w:i/>
          <w:sz w:val="24"/>
          <w:szCs w:val="24"/>
        </w:rPr>
        <w:t>programas y políticas especiales</w:t>
      </w:r>
      <w:r w:rsidRPr="006C42BE">
        <w:rPr>
          <w:rFonts w:ascii="Times New Roman" w:hAnsi="Times New Roman" w:cs="Times New Roman"/>
          <w:sz w:val="24"/>
          <w:szCs w:val="24"/>
        </w:rPr>
        <w:t xml:space="preserve"> de largo aliento, que transfirieron capacidades permanentes y recursos a provincias y municipios como apoyo de sus funciones. En casos como el de salud, fueron la institucionalidad que sostuvo “el retorno de lo nacional”. Dos exponentes singulares fueron el Programa Remediar y el Plan Nacer-Sumar (provisión de medicamentos, el primero; seguros provinciales públicos el segundo, para garantizar atención gratuita a población sin garantías explícitas en salud). Las acciones se vehiculizaron por los estados provinciales y gobiernos locales (cuando eran responsables de la provisión de servicios), impulsándose acciones concertadas. Acerca de las </w:t>
      </w:r>
      <w:r w:rsidRPr="006C42BE">
        <w:rPr>
          <w:rFonts w:ascii="Times New Roman" w:hAnsi="Times New Roman" w:cs="Times New Roman"/>
          <w:i/>
          <w:sz w:val="24"/>
          <w:szCs w:val="24"/>
        </w:rPr>
        <w:t>actividades extraordinarias</w:t>
      </w:r>
      <w:r w:rsidRPr="006C42BE">
        <w:rPr>
          <w:rFonts w:ascii="Times New Roman" w:hAnsi="Times New Roman" w:cs="Times New Roman"/>
          <w:sz w:val="24"/>
          <w:szCs w:val="24"/>
        </w:rPr>
        <w:t>, ANSES y el MDS fueron agentes principales con modalidades propias; abundaron los operativos por emergencias o necesidades extremas</w:t>
      </w:r>
      <w:r w:rsidRPr="006C42BE">
        <w:rPr>
          <w:rStyle w:val="Refdenotaalpie"/>
          <w:rFonts w:ascii="Times New Roman" w:hAnsi="Times New Roman" w:cs="Times New Roman"/>
          <w:sz w:val="24"/>
          <w:szCs w:val="24"/>
        </w:rPr>
        <w:footnoteReference w:id="14"/>
      </w:r>
      <w:r w:rsidRPr="006C42BE">
        <w:rPr>
          <w:rFonts w:ascii="Times New Roman" w:hAnsi="Times New Roman" w:cs="Times New Roman"/>
          <w:sz w:val="24"/>
          <w:szCs w:val="24"/>
        </w:rPr>
        <w:t xml:space="preserve">. Simultáneamente, este ministerio aumentaba su incidencia vía tareas regulares, cuando el programa de PNC (Pensiones No </w:t>
      </w:r>
      <w:r w:rsidRPr="006C42BE">
        <w:rPr>
          <w:rFonts w:ascii="Times New Roman" w:hAnsi="Times New Roman" w:cs="Times New Roman"/>
          <w:sz w:val="24"/>
          <w:szCs w:val="24"/>
        </w:rPr>
        <w:lastRenderedPageBreak/>
        <w:t xml:space="preserve">contributivas) más que cuadruplicó sus beneficios (de 345.000 en 2003, a 1.515.000 en 2015). </w:t>
      </w:r>
    </w:p>
    <w:p w14:paraId="41772DFB" w14:textId="77777777"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Para cerrar, el liderazgo de los ministerios nacionales en procesos de concertación de espacios interjurisdiccionales también sumó a la renacionalización, sea que orientaran las agendas (ejemplo, salud); que impulsaran nuevas lógicas (integralidad como oposición a la compensación asistencial educativa) o ejercieran efecto demostración (ANSES traccionando escalas de movilidad de sistemas provinciales). </w:t>
      </w:r>
    </w:p>
    <w:p w14:paraId="142BD6D8" w14:textId="77777777" w:rsidR="00B17D7A"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(iii) Se sostuvo</w:t>
      </w:r>
      <w:r w:rsidR="00B17D7A" w:rsidRPr="006C42BE">
        <w:rPr>
          <w:rFonts w:ascii="Times New Roman" w:hAnsi="Times New Roman" w:cs="Times New Roman"/>
          <w:i/>
          <w:sz w:val="24"/>
          <w:szCs w:val="24"/>
        </w:rPr>
        <w:t xml:space="preserve"> la organización matricial, de gestión por programas impulsada en los noventa, </w:t>
      </w:r>
      <w:r w:rsidR="00B17D7A" w:rsidRPr="006C42BE">
        <w:rPr>
          <w:rFonts w:ascii="Times New Roman" w:hAnsi="Times New Roman" w:cs="Times New Roman"/>
          <w:sz w:val="24"/>
          <w:szCs w:val="24"/>
        </w:rPr>
        <w:t xml:space="preserve">que </w:t>
      </w:r>
      <w:r w:rsidR="00803AA6" w:rsidRPr="006C42BE">
        <w:rPr>
          <w:rFonts w:ascii="Times New Roman" w:hAnsi="Times New Roman" w:cs="Times New Roman"/>
          <w:sz w:val="24"/>
          <w:szCs w:val="24"/>
        </w:rPr>
        <w:t>frecuentemente</w:t>
      </w:r>
      <w:r w:rsidR="00B17D7A" w:rsidRPr="006C42BE">
        <w:rPr>
          <w:rFonts w:ascii="Times New Roman" w:hAnsi="Times New Roman" w:cs="Times New Roman"/>
          <w:sz w:val="24"/>
          <w:szCs w:val="24"/>
        </w:rPr>
        <w:t xml:space="preserve"> resultó el element</w:t>
      </w:r>
      <w:r w:rsidR="00803AA6" w:rsidRPr="006C42BE">
        <w:rPr>
          <w:rFonts w:ascii="Times New Roman" w:hAnsi="Times New Roman" w:cs="Times New Roman"/>
          <w:sz w:val="24"/>
          <w:szCs w:val="24"/>
        </w:rPr>
        <w:t>o más dinámico de las políticas</w:t>
      </w:r>
      <w:r w:rsidR="00B17D7A" w:rsidRPr="006C42BE">
        <w:rPr>
          <w:rFonts w:ascii="Times New Roman" w:hAnsi="Times New Roman" w:cs="Times New Roman"/>
          <w:sz w:val="24"/>
          <w:szCs w:val="24"/>
        </w:rPr>
        <w:t xml:space="preserve">: así </w:t>
      </w:r>
      <w:r w:rsidR="00803AA6" w:rsidRPr="006C42BE">
        <w:rPr>
          <w:rFonts w:ascii="Times New Roman" w:hAnsi="Times New Roman" w:cs="Times New Roman"/>
          <w:sz w:val="24"/>
          <w:szCs w:val="24"/>
        </w:rPr>
        <w:t xml:space="preserve">fueron incorporados grupos a los beneficios y se buscó </w:t>
      </w:r>
      <w:r w:rsidR="00B17D7A" w:rsidRPr="006C42BE">
        <w:rPr>
          <w:rFonts w:ascii="Times New Roman" w:hAnsi="Times New Roman" w:cs="Times New Roman"/>
          <w:sz w:val="24"/>
          <w:szCs w:val="24"/>
        </w:rPr>
        <w:t xml:space="preserve">fortalecer a los prestadores locales, </w:t>
      </w:r>
      <w:r w:rsidR="00803AA6" w:rsidRPr="006C42BE">
        <w:rPr>
          <w:rFonts w:ascii="Times New Roman" w:hAnsi="Times New Roman" w:cs="Times New Roman"/>
          <w:sz w:val="24"/>
          <w:szCs w:val="24"/>
        </w:rPr>
        <w:t xml:space="preserve">lo que </w:t>
      </w:r>
      <w:r w:rsidR="00B17D7A" w:rsidRPr="006C42BE">
        <w:rPr>
          <w:rFonts w:ascii="Times New Roman" w:hAnsi="Times New Roman" w:cs="Times New Roman"/>
          <w:sz w:val="24"/>
          <w:szCs w:val="24"/>
        </w:rPr>
        <w:t>gener</w:t>
      </w:r>
      <w:r w:rsidR="00803AA6" w:rsidRPr="006C42BE">
        <w:rPr>
          <w:rFonts w:ascii="Times New Roman" w:hAnsi="Times New Roman" w:cs="Times New Roman"/>
          <w:sz w:val="24"/>
          <w:szCs w:val="24"/>
        </w:rPr>
        <w:t>ó</w:t>
      </w:r>
      <w:r w:rsidR="00B17D7A" w:rsidRPr="006C42BE">
        <w:rPr>
          <w:rFonts w:ascii="Times New Roman" w:hAnsi="Times New Roman" w:cs="Times New Roman"/>
          <w:sz w:val="24"/>
          <w:szCs w:val="24"/>
        </w:rPr>
        <w:t xml:space="preserve"> interacciones positivas con los servicios pre-existentes (</w:t>
      </w:r>
      <w:r w:rsidR="00803AA6" w:rsidRPr="006C42BE">
        <w:rPr>
          <w:rFonts w:ascii="Times New Roman" w:hAnsi="Times New Roman" w:cs="Times New Roman"/>
          <w:sz w:val="24"/>
          <w:szCs w:val="24"/>
        </w:rPr>
        <w:t>en Salud, por ejemplo); y</w:t>
      </w:r>
      <w:r w:rsidR="00B17D7A" w:rsidRPr="006C42BE">
        <w:rPr>
          <w:rFonts w:ascii="Times New Roman" w:hAnsi="Times New Roman" w:cs="Times New Roman"/>
          <w:sz w:val="24"/>
          <w:szCs w:val="24"/>
        </w:rPr>
        <w:t xml:space="preserve"> </w:t>
      </w:r>
      <w:r w:rsidR="00803AA6" w:rsidRPr="006C42BE">
        <w:rPr>
          <w:rFonts w:ascii="Times New Roman" w:hAnsi="Times New Roman" w:cs="Times New Roman"/>
          <w:sz w:val="24"/>
          <w:szCs w:val="24"/>
        </w:rPr>
        <w:t>bajo al modelo</w:t>
      </w:r>
      <w:r w:rsidR="00B17D7A" w:rsidRPr="006C42BE">
        <w:rPr>
          <w:rFonts w:ascii="Times New Roman" w:hAnsi="Times New Roman" w:cs="Times New Roman"/>
          <w:sz w:val="24"/>
          <w:szCs w:val="24"/>
        </w:rPr>
        <w:t xml:space="preserve"> “asistencia con derechos” y otorgándoles la titularidad, el programa PROGRESAR extendió la protección a jóvenes hasta 25 años insertos en experiencias educativas. Otras veces los programas hicieron pie en las </w:t>
      </w:r>
      <w:r w:rsidR="00B17D7A" w:rsidRPr="006C42BE">
        <w:rPr>
          <w:rFonts w:ascii="Times New Roman" w:hAnsi="Times New Roman" w:cs="Times New Roman"/>
          <w:i/>
          <w:sz w:val="24"/>
          <w:szCs w:val="24"/>
        </w:rPr>
        <w:t>necesidades</w:t>
      </w:r>
      <w:r w:rsidR="00B17D7A" w:rsidRPr="006C42BE">
        <w:rPr>
          <w:rFonts w:ascii="Times New Roman" w:hAnsi="Times New Roman" w:cs="Times New Roman"/>
          <w:sz w:val="24"/>
          <w:szCs w:val="24"/>
        </w:rPr>
        <w:t xml:space="preserve"> a cuya satisfacción contribuían, como en los subsidios al transporte y servicios públicos (prácticamente universales y gestionados por otras áreas)</w:t>
      </w:r>
      <w:r w:rsidR="00621460"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 xml:space="preserve">las computadoras del </w:t>
      </w:r>
      <w:r w:rsidR="00621460" w:rsidRPr="006C42BE">
        <w:rPr>
          <w:rFonts w:ascii="Times New Roman" w:hAnsi="Times New Roman" w:cs="Times New Roman"/>
          <w:sz w:val="24"/>
          <w:szCs w:val="24"/>
        </w:rPr>
        <w:t xml:space="preserve">mencionado </w:t>
      </w:r>
      <w:r w:rsidR="00B17D7A" w:rsidRPr="006C42BE">
        <w:rPr>
          <w:rFonts w:ascii="Times New Roman" w:hAnsi="Times New Roman" w:cs="Times New Roman"/>
          <w:sz w:val="24"/>
          <w:szCs w:val="24"/>
        </w:rPr>
        <w:t xml:space="preserve">Programa CONECTAR IGUALDAD o créditos para beneficiarios previsionales. </w:t>
      </w:r>
    </w:p>
    <w:p w14:paraId="70DDDC15" w14:textId="77777777"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La persistencia del programa como dispositivo no debe mira</w:t>
      </w:r>
      <w:r w:rsidR="004012B4" w:rsidRPr="006C42BE">
        <w:rPr>
          <w:rFonts w:ascii="Times New Roman" w:hAnsi="Times New Roman" w:cs="Times New Roman"/>
          <w:sz w:val="24"/>
          <w:szCs w:val="24"/>
        </w:rPr>
        <w:t>rse</w:t>
      </w:r>
      <w:r w:rsidRPr="006C42BE">
        <w:rPr>
          <w:rFonts w:ascii="Times New Roman" w:hAnsi="Times New Roman" w:cs="Times New Roman"/>
          <w:sz w:val="24"/>
          <w:szCs w:val="24"/>
        </w:rPr>
        <w:t xml:space="preserve"> linealmente: </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implicó continuidad global de la línea de los años noventa (</w:t>
      </w:r>
      <w:r w:rsidR="00621460" w:rsidRPr="006C42BE">
        <w:rPr>
          <w:rFonts w:ascii="Times New Roman" w:hAnsi="Times New Roman" w:cs="Times New Roman"/>
          <w:sz w:val="24"/>
          <w:szCs w:val="24"/>
        </w:rPr>
        <w:t>ej,</w:t>
      </w:r>
      <w:r w:rsidRPr="006C42BE">
        <w:rPr>
          <w:rFonts w:ascii="Times New Roman" w:hAnsi="Times New Roman" w:cs="Times New Roman"/>
          <w:sz w:val="24"/>
          <w:szCs w:val="24"/>
        </w:rPr>
        <w:t xml:space="preserve"> cuando se fundó en pretensi</w:t>
      </w:r>
      <w:r w:rsidR="00BA2AF3" w:rsidRPr="006C42BE">
        <w:rPr>
          <w:rFonts w:ascii="Times New Roman" w:hAnsi="Times New Roman" w:cs="Times New Roman"/>
          <w:sz w:val="24"/>
          <w:szCs w:val="24"/>
        </w:rPr>
        <w:t xml:space="preserve">ones </w:t>
      </w:r>
      <w:r w:rsidRPr="006C42BE">
        <w:rPr>
          <w:rFonts w:ascii="Times New Roman" w:hAnsi="Times New Roman" w:cs="Times New Roman"/>
          <w:sz w:val="24"/>
          <w:szCs w:val="24"/>
        </w:rPr>
        <w:t>compensatoria</w:t>
      </w:r>
      <w:r w:rsidR="00BA2AF3" w:rsidRPr="006C42BE">
        <w:rPr>
          <w:rFonts w:ascii="Times New Roman" w:hAnsi="Times New Roman" w:cs="Times New Roman"/>
          <w:sz w:val="24"/>
          <w:szCs w:val="24"/>
        </w:rPr>
        <w:t>s</w:t>
      </w:r>
      <w:r w:rsidR="00A259C1" w:rsidRPr="006C42BE">
        <w:rPr>
          <w:rFonts w:ascii="Times New Roman" w:hAnsi="Times New Roman" w:cs="Times New Roman"/>
          <w:sz w:val="24"/>
          <w:szCs w:val="24"/>
        </w:rPr>
        <w:t xml:space="preserve"> o cuan</w:t>
      </w:r>
      <w:r w:rsidR="00BA2AF3" w:rsidRPr="006C42BE">
        <w:rPr>
          <w:rFonts w:ascii="Times New Roman" w:hAnsi="Times New Roman" w:cs="Times New Roman"/>
          <w:sz w:val="24"/>
          <w:szCs w:val="24"/>
        </w:rPr>
        <w:t>do derivó responsabilidades a los</w:t>
      </w:r>
      <w:r w:rsidR="00A259C1" w:rsidRPr="006C42BE">
        <w:rPr>
          <w:rFonts w:ascii="Times New Roman" w:hAnsi="Times New Roman" w:cs="Times New Roman"/>
          <w:sz w:val="24"/>
          <w:szCs w:val="24"/>
        </w:rPr>
        <w:t xml:space="preserve"> efector</w:t>
      </w:r>
      <w:r w:rsidR="00BA2AF3" w:rsidRPr="006C42BE">
        <w:rPr>
          <w:rFonts w:ascii="Times New Roman" w:hAnsi="Times New Roman" w:cs="Times New Roman"/>
          <w:sz w:val="24"/>
          <w:szCs w:val="24"/>
        </w:rPr>
        <w:t>es</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 xml:space="preserve">o </w:t>
      </w:r>
      <w:r w:rsidRPr="006C42BE">
        <w:rPr>
          <w:rFonts w:ascii="Times New Roman" w:hAnsi="Times New Roman" w:cs="Times New Roman"/>
          <w:sz w:val="24"/>
          <w:szCs w:val="24"/>
        </w:rPr>
        <w:t>rompió con ella</w:t>
      </w:r>
      <w:r w:rsidR="00621460" w:rsidRPr="006C42BE">
        <w:rPr>
          <w:rFonts w:ascii="Times New Roman" w:hAnsi="Times New Roman" w:cs="Times New Roman"/>
          <w:sz w:val="24"/>
          <w:szCs w:val="24"/>
        </w:rPr>
        <w:t>,</w:t>
      </w:r>
      <w:r w:rsidR="00BA2AF3" w:rsidRPr="006C42BE">
        <w:rPr>
          <w:rFonts w:ascii="Times New Roman" w:hAnsi="Times New Roman" w:cs="Times New Roman"/>
          <w:sz w:val="24"/>
          <w:szCs w:val="24"/>
        </w:rPr>
        <w:t xml:space="preserve"> al</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vehiculiz</w:t>
      </w:r>
      <w:r w:rsidR="00BA2AF3" w:rsidRPr="006C42BE">
        <w:rPr>
          <w:rFonts w:ascii="Times New Roman" w:hAnsi="Times New Roman" w:cs="Times New Roman"/>
          <w:sz w:val="24"/>
          <w:szCs w:val="24"/>
        </w:rPr>
        <w:t>ar</w:t>
      </w:r>
      <w:r w:rsidRPr="006C42BE">
        <w:rPr>
          <w:rFonts w:ascii="Times New Roman" w:hAnsi="Times New Roman" w:cs="Times New Roman"/>
          <w:sz w:val="24"/>
          <w:szCs w:val="24"/>
        </w:rPr>
        <w:t xml:space="preserve"> derechos</w:t>
      </w:r>
      <w:r w:rsidR="004012B4" w:rsidRPr="006C42BE">
        <w:rPr>
          <w:rFonts w:ascii="Times New Roman" w:hAnsi="Times New Roman" w:cs="Times New Roman"/>
          <w:sz w:val="24"/>
          <w:szCs w:val="24"/>
        </w:rPr>
        <w:t xml:space="preserve"> y </w:t>
      </w:r>
      <w:r w:rsidR="00E22902" w:rsidRPr="006C42BE">
        <w:rPr>
          <w:rFonts w:ascii="Times New Roman" w:hAnsi="Times New Roman" w:cs="Times New Roman"/>
          <w:sz w:val="24"/>
          <w:szCs w:val="24"/>
        </w:rPr>
        <w:t xml:space="preserve">revertir </w:t>
      </w:r>
      <w:r w:rsidR="00BA2AF3" w:rsidRPr="006C42BE">
        <w:rPr>
          <w:rFonts w:ascii="Times New Roman" w:hAnsi="Times New Roman" w:cs="Times New Roman"/>
          <w:sz w:val="24"/>
          <w:szCs w:val="24"/>
        </w:rPr>
        <w:t xml:space="preserve">la </w:t>
      </w:r>
      <w:r w:rsidR="00E22902" w:rsidRPr="006C42BE">
        <w:rPr>
          <w:rFonts w:ascii="Times New Roman" w:hAnsi="Times New Roman" w:cs="Times New Roman"/>
          <w:sz w:val="24"/>
          <w:szCs w:val="24"/>
        </w:rPr>
        <w:t>s</w:t>
      </w:r>
      <w:r w:rsidR="00BA2AF3" w:rsidRPr="006C42BE">
        <w:rPr>
          <w:rFonts w:ascii="Times New Roman" w:hAnsi="Times New Roman" w:cs="Times New Roman"/>
          <w:sz w:val="24"/>
          <w:szCs w:val="24"/>
        </w:rPr>
        <w:t>electiv</w:t>
      </w:r>
      <w:r w:rsidR="00E22902" w:rsidRPr="006C42BE">
        <w:rPr>
          <w:rFonts w:ascii="Times New Roman" w:hAnsi="Times New Roman" w:cs="Times New Roman"/>
          <w:sz w:val="24"/>
          <w:szCs w:val="24"/>
        </w:rPr>
        <w:t>idad</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803AA6" w:rsidRPr="006C42BE">
        <w:rPr>
          <w:rFonts w:ascii="Times New Roman" w:hAnsi="Times New Roman" w:cs="Times New Roman"/>
          <w:i/>
          <w:sz w:val="24"/>
          <w:szCs w:val="24"/>
        </w:rPr>
        <w:t>A</w:t>
      </w:r>
      <w:r w:rsidRPr="006C42BE">
        <w:rPr>
          <w:rFonts w:ascii="Times New Roman" w:hAnsi="Times New Roman" w:cs="Times New Roman"/>
          <w:i/>
          <w:sz w:val="24"/>
          <w:szCs w:val="24"/>
        </w:rPr>
        <w:t xml:space="preserve">mbas situaciones </w:t>
      </w:r>
      <w:r w:rsidR="00621460" w:rsidRPr="006C42BE">
        <w:rPr>
          <w:rFonts w:ascii="Times New Roman" w:hAnsi="Times New Roman" w:cs="Times New Roman"/>
          <w:i/>
          <w:sz w:val="24"/>
          <w:szCs w:val="24"/>
        </w:rPr>
        <w:t>sol</w:t>
      </w:r>
      <w:r w:rsidR="00803AA6" w:rsidRPr="006C42BE">
        <w:rPr>
          <w:rFonts w:ascii="Times New Roman" w:hAnsi="Times New Roman" w:cs="Times New Roman"/>
          <w:i/>
          <w:sz w:val="24"/>
          <w:szCs w:val="24"/>
        </w:rPr>
        <w:t>ían</w:t>
      </w:r>
      <w:r w:rsidRPr="006C42BE">
        <w:rPr>
          <w:rFonts w:ascii="Times New Roman" w:hAnsi="Times New Roman" w:cs="Times New Roman"/>
          <w:i/>
          <w:sz w:val="24"/>
          <w:szCs w:val="24"/>
        </w:rPr>
        <w:t xml:space="preserve"> entrelazar</w:t>
      </w:r>
      <w:r w:rsidR="00621460" w:rsidRPr="006C42BE">
        <w:rPr>
          <w:rFonts w:ascii="Times New Roman" w:hAnsi="Times New Roman" w:cs="Times New Roman"/>
          <w:i/>
          <w:sz w:val="24"/>
          <w:szCs w:val="24"/>
        </w:rPr>
        <w:t>se</w:t>
      </w:r>
      <w:r w:rsidR="00E22902" w:rsidRPr="006C42BE">
        <w:rPr>
          <w:rFonts w:ascii="Times New Roman" w:hAnsi="Times New Roman" w:cs="Times New Roman"/>
          <w:i/>
          <w:sz w:val="24"/>
          <w:szCs w:val="24"/>
        </w:rPr>
        <w:t xml:space="preserve">, lo que hizo que la </w:t>
      </w:r>
      <w:r w:rsidRPr="006C42BE">
        <w:rPr>
          <w:rFonts w:ascii="Times New Roman" w:hAnsi="Times New Roman" w:cs="Times New Roman"/>
          <w:i/>
          <w:sz w:val="24"/>
          <w:szCs w:val="24"/>
        </w:rPr>
        <w:t xml:space="preserve">reclamada integralidad </w:t>
      </w:r>
      <w:r w:rsidR="00E22902" w:rsidRPr="006C42BE">
        <w:rPr>
          <w:rFonts w:ascii="Times New Roman" w:hAnsi="Times New Roman" w:cs="Times New Roman"/>
          <w:i/>
          <w:sz w:val="24"/>
          <w:szCs w:val="24"/>
        </w:rPr>
        <w:t>latiera en los objetivos globales, más que en procedimientos</w:t>
      </w:r>
      <w:r w:rsidR="00803AA6" w:rsidRPr="006C42BE">
        <w:rPr>
          <w:rFonts w:ascii="Times New Roman" w:hAnsi="Times New Roman" w:cs="Times New Roman"/>
          <w:i/>
          <w:sz w:val="24"/>
          <w:szCs w:val="24"/>
        </w:rPr>
        <w:t xml:space="preserve"> prolijos</w:t>
      </w:r>
      <w:r w:rsidR="00E22902" w:rsidRPr="006C42BE">
        <w:rPr>
          <w:rFonts w:ascii="Times New Roman" w:hAnsi="Times New Roman" w:cs="Times New Roman"/>
          <w:i/>
          <w:sz w:val="24"/>
          <w:szCs w:val="24"/>
        </w:rPr>
        <w:t xml:space="preserve">. </w:t>
      </w:r>
      <w:r w:rsidRPr="006C42BE">
        <w:rPr>
          <w:rFonts w:ascii="Times New Roman" w:hAnsi="Times New Roman" w:cs="Times New Roman"/>
          <w:sz w:val="24"/>
          <w:szCs w:val="24"/>
        </w:rPr>
        <w:t xml:space="preserve">Finalmente, los programas </w:t>
      </w:r>
      <w:r w:rsidR="00E22902" w:rsidRPr="006C42BE">
        <w:rPr>
          <w:rFonts w:ascii="Times New Roman" w:hAnsi="Times New Roman" w:cs="Times New Roman"/>
          <w:sz w:val="24"/>
          <w:szCs w:val="24"/>
        </w:rPr>
        <w:t>sirvieron</w:t>
      </w:r>
      <w:r w:rsidRPr="006C42BE">
        <w:rPr>
          <w:rFonts w:ascii="Times New Roman" w:hAnsi="Times New Roman" w:cs="Times New Roman"/>
          <w:sz w:val="24"/>
          <w:szCs w:val="24"/>
        </w:rPr>
        <w:t xml:space="preserve"> para incorporar </w:t>
      </w:r>
      <w:r w:rsidRPr="006C42BE">
        <w:rPr>
          <w:rFonts w:ascii="Times New Roman" w:hAnsi="Times New Roman" w:cs="Times New Roman"/>
          <w:i/>
          <w:sz w:val="24"/>
          <w:szCs w:val="24"/>
        </w:rPr>
        <w:t>a la gestión</w:t>
      </w:r>
      <w:r w:rsidRPr="006C42BE">
        <w:rPr>
          <w:rFonts w:ascii="Times New Roman" w:hAnsi="Times New Roman" w:cs="Times New Roman"/>
          <w:sz w:val="24"/>
          <w:szCs w:val="24"/>
        </w:rPr>
        <w:t xml:space="preserve"> </w:t>
      </w:r>
      <w:r w:rsidRPr="006C42BE">
        <w:rPr>
          <w:rFonts w:ascii="Times New Roman" w:hAnsi="Times New Roman" w:cs="Times New Roman"/>
          <w:sz w:val="24"/>
          <w:szCs w:val="24"/>
        </w:rPr>
        <w:lastRenderedPageBreak/>
        <w:t>a grupos/organizaciones sociales divers</w:t>
      </w:r>
      <w:r w:rsidR="00803AA6" w:rsidRPr="006C42BE">
        <w:rPr>
          <w:rFonts w:ascii="Times New Roman" w:hAnsi="Times New Roman" w:cs="Times New Roman"/>
          <w:sz w:val="24"/>
          <w:szCs w:val="24"/>
        </w:rPr>
        <w:t>as</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concreta</w:t>
      </w:r>
      <w:r w:rsidR="00E22902" w:rsidRPr="006C42BE">
        <w:rPr>
          <w:rFonts w:ascii="Times New Roman" w:hAnsi="Times New Roman" w:cs="Times New Roman"/>
          <w:sz w:val="24"/>
          <w:szCs w:val="24"/>
        </w:rPr>
        <w:t xml:space="preserve">ndo </w:t>
      </w:r>
      <w:r w:rsidR="00803AA6" w:rsidRPr="006C42BE">
        <w:rPr>
          <w:rFonts w:ascii="Times New Roman" w:hAnsi="Times New Roman" w:cs="Times New Roman"/>
          <w:sz w:val="24"/>
          <w:szCs w:val="24"/>
        </w:rPr>
        <w:t xml:space="preserve">procesos de </w:t>
      </w:r>
      <w:r w:rsidR="00E22902" w:rsidRPr="006C42BE">
        <w:rPr>
          <w:rFonts w:ascii="Times New Roman" w:hAnsi="Times New Roman" w:cs="Times New Roman"/>
          <w:sz w:val="24"/>
          <w:szCs w:val="24"/>
        </w:rPr>
        <w:t xml:space="preserve">concertación intergubernamental y social en </w:t>
      </w:r>
      <w:r w:rsidR="00803AA6" w:rsidRPr="006C42BE">
        <w:rPr>
          <w:rFonts w:ascii="Times New Roman" w:hAnsi="Times New Roman" w:cs="Times New Roman"/>
          <w:sz w:val="24"/>
          <w:szCs w:val="24"/>
        </w:rPr>
        <w:t>ese plano</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p>
    <w:p w14:paraId="0A50F3A4" w14:textId="77777777" w:rsidR="00F81417" w:rsidRPr="006C42BE" w:rsidRDefault="00414AE9"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En cuanto a</w:t>
      </w:r>
      <w:r w:rsidR="00F81417" w:rsidRPr="006C42BE">
        <w:rPr>
          <w:rFonts w:ascii="Times New Roman" w:hAnsi="Times New Roman" w:cs="Times New Roman"/>
          <w:sz w:val="24"/>
          <w:szCs w:val="24"/>
        </w:rPr>
        <w:t xml:space="preserve"> las estr</w:t>
      </w:r>
      <w:r w:rsidR="00621460" w:rsidRPr="006C42BE">
        <w:rPr>
          <w:rFonts w:ascii="Times New Roman" w:hAnsi="Times New Roman" w:cs="Times New Roman"/>
          <w:sz w:val="24"/>
          <w:szCs w:val="24"/>
        </w:rPr>
        <w:t xml:space="preserve">ategias </w:t>
      </w:r>
      <w:r w:rsidR="00F81417" w:rsidRPr="006C42BE">
        <w:rPr>
          <w:rFonts w:ascii="Times New Roman" w:hAnsi="Times New Roman" w:cs="Times New Roman"/>
          <w:sz w:val="24"/>
          <w:szCs w:val="24"/>
        </w:rPr>
        <w:t xml:space="preserve">generales de intervención, construimos cinco grandes tipos de acciones, con diferentes contenidos y materialidades: </w:t>
      </w:r>
    </w:p>
    <w:p w14:paraId="5E9F7E2B" w14:textId="77777777"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w:t>
      </w:r>
      <w:r w:rsidRPr="006C42BE">
        <w:rPr>
          <w:rFonts w:ascii="Times New Roman" w:hAnsi="Times New Roman" w:cs="Times New Roman"/>
          <w:i/>
          <w:sz w:val="24"/>
          <w:szCs w:val="24"/>
        </w:rPr>
        <w:t>provisión pública de bienes y servicios</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es</w:t>
      </w:r>
      <w:r w:rsidRPr="006C42BE">
        <w:rPr>
          <w:rFonts w:ascii="Times New Roman" w:hAnsi="Times New Roman" w:cs="Times New Roman"/>
          <w:sz w:val="24"/>
          <w:szCs w:val="24"/>
        </w:rPr>
        <w:t xml:space="preserve"> la modalidad “tradicional”, base de servicios y equipamientos colectivos</w:t>
      </w:r>
      <w:r w:rsidR="00621460" w:rsidRPr="006C42BE">
        <w:rPr>
          <w:rFonts w:ascii="Times New Roman" w:hAnsi="Times New Roman" w:cs="Times New Roman"/>
          <w:sz w:val="24"/>
          <w:szCs w:val="24"/>
        </w:rPr>
        <w:t>,</w:t>
      </w:r>
      <w:r w:rsidRPr="006C42BE">
        <w:rPr>
          <w:rFonts w:ascii="Times New Roman" w:hAnsi="Times New Roman" w:cs="Times New Roman"/>
          <w:sz w:val="24"/>
          <w:szCs w:val="24"/>
        </w:rPr>
        <w:t xml:space="preserve"> que había experimentado </w:t>
      </w:r>
      <w:r w:rsidR="00621460" w:rsidRPr="006C42BE">
        <w:rPr>
          <w:rFonts w:ascii="Times New Roman" w:hAnsi="Times New Roman" w:cs="Times New Roman"/>
          <w:sz w:val="24"/>
          <w:szCs w:val="24"/>
        </w:rPr>
        <w:t>una</w:t>
      </w:r>
      <w:r w:rsidRPr="006C42BE">
        <w:rPr>
          <w:rFonts w:ascii="Times New Roman" w:hAnsi="Times New Roman" w:cs="Times New Roman"/>
          <w:sz w:val="24"/>
          <w:szCs w:val="24"/>
        </w:rPr>
        <w:t xml:space="preserve"> marcada retracción en el periodo </w:t>
      </w:r>
      <w:r w:rsidR="00621460" w:rsidRPr="006C42BE">
        <w:rPr>
          <w:rFonts w:ascii="Times New Roman" w:hAnsi="Times New Roman" w:cs="Times New Roman"/>
          <w:sz w:val="24"/>
          <w:szCs w:val="24"/>
        </w:rPr>
        <w:t>previo</w:t>
      </w:r>
      <w:r w:rsidRPr="006C42BE">
        <w:rPr>
          <w:rFonts w:ascii="Times New Roman" w:hAnsi="Times New Roman" w:cs="Times New Roman"/>
          <w:sz w:val="24"/>
          <w:szCs w:val="24"/>
        </w:rPr>
        <w:t xml:space="preserve">, a través de la privatización/mercantilización de áreas. </w:t>
      </w:r>
      <w:r w:rsidR="00414AE9" w:rsidRPr="006C42BE">
        <w:rPr>
          <w:rFonts w:ascii="Times New Roman" w:hAnsi="Times New Roman" w:cs="Times New Roman"/>
          <w:sz w:val="24"/>
          <w:szCs w:val="24"/>
        </w:rPr>
        <w:t>En este período fue reactivada, con el perfil de sostén y provisión de recursos críticos ya descripto (salud, educación), sin alterar responsabilidades.</w:t>
      </w:r>
    </w:p>
    <w:p w14:paraId="27B81C2D" w14:textId="77777777"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 </w:t>
      </w:r>
      <w:r w:rsidR="00AB0566" w:rsidRPr="006C42BE">
        <w:rPr>
          <w:rFonts w:ascii="Times New Roman" w:hAnsi="Times New Roman" w:cs="Times New Roman"/>
          <w:sz w:val="24"/>
          <w:szCs w:val="24"/>
        </w:rPr>
        <w:t>patrón de regulación del sector privado prestador: débiles acciones que buscaron regular el accionar privado (en salud, también el de la seguridad social) e instituir garantías para los usuarios, con resultados generalmente exiguos. La mayor iniciativa: la ley de regulación de la medicina prepaga</w:t>
      </w:r>
    </w:p>
    <w:p w14:paraId="5D1DBB0B" w14:textId="77777777" w:rsidR="005C0BA3" w:rsidRPr="006C42BE" w:rsidRDefault="005C0BA3"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(iii) patrón de gestión: partiendo del legado de tercerización/comunitarización, se </w:t>
      </w:r>
      <w:commentRangeStart w:id="17"/>
      <w:r w:rsidRPr="006C42BE">
        <w:rPr>
          <w:rFonts w:ascii="Times New Roman" w:hAnsi="Times New Roman" w:cs="Times New Roman"/>
          <w:sz w:val="24"/>
          <w:szCs w:val="24"/>
        </w:rPr>
        <w:t xml:space="preserve">disminuyó activamente la participación de ONG´s y fundaciones, a favor de la de organizaciones sociales y organismos públicos </w:t>
      </w:r>
      <w:commentRangeEnd w:id="17"/>
      <w:r w:rsidR="00585883">
        <w:rPr>
          <w:rStyle w:val="Refdecomentario"/>
        </w:rPr>
        <w:commentReference w:id="17"/>
      </w:r>
      <w:r w:rsidRPr="006C42BE">
        <w:rPr>
          <w:rFonts w:ascii="Times New Roman" w:hAnsi="Times New Roman" w:cs="Times New Roman"/>
          <w:sz w:val="24"/>
          <w:szCs w:val="24"/>
        </w:rPr>
        <w:t xml:space="preserve">(a menudo presentado como “gestión concertada”). </w:t>
      </w:r>
    </w:p>
    <w:p w14:paraId="589D86E3" w14:textId="77777777" w:rsidR="00E06C2A" w:rsidRPr="000022D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w:t>
      </w:r>
      <w:r w:rsidR="009B0571" w:rsidRPr="006C42BE">
        <w:rPr>
          <w:rFonts w:ascii="Times New Roman" w:hAnsi="Times New Roman" w:cs="Times New Roman"/>
          <w:sz w:val="24"/>
          <w:szCs w:val="24"/>
        </w:rPr>
        <w:t>iv) transferencias monetarias directas con o sin condicionalidades (</w:t>
      </w:r>
      <w:r w:rsidR="009B0571" w:rsidRPr="006C42BE">
        <w:rPr>
          <w:rFonts w:ascii="Times New Roman" w:hAnsi="Times New Roman" w:cs="Times New Roman"/>
          <w:i/>
          <w:sz w:val="24"/>
          <w:szCs w:val="24"/>
        </w:rPr>
        <w:t>prestaciones subsidiadas</w:t>
      </w:r>
      <w:r w:rsidR="009B0571" w:rsidRPr="006C42BE">
        <w:rPr>
          <w:rFonts w:ascii="Times New Roman" w:hAnsi="Times New Roman" w:cs="Times New Roman"/>
          <w:sz w:val="24"/>
          <w:szCs w:val="24"/>
        </w:rPr>
        <w:t xml:space="preserve">): son prestaciones en dinero que en principio evocan la asistencia tradicional (Arias, 2012). En el período registraron dos tendencias: la primera, a eliminar los cupos, tal como se hizo con las PNC (amparadas en el lema “los derechos no tienen techo”, accederían al beneficio todos quienes cumplieran las condiciones), lo que originó el aumento de cobertura. La segunda tendencia fue a reducir las condicionalidades con penalidades y su ejemplo típico fue la AUH, creada en 2009. Se trata del componente no </w:t>
      </w:r>
      <w:r w:rsidR="009B0571" w:rsidRPr="006C42BE">
        <w:rPr>
          <w:rFonts w:ascii="Times New Roman" w:hAnsi="Times New Roman" w:cs="Times New Roman"/>
          <w:sz w:val="24"/>
          <w:szCs w:val="24"/>
        </w:rPr>
        <w:lastRenderedPageBreak/>
        <w:t xml:space="preserve">contributivo del subsistema de asignaciones familiares, dirigido a grupos familiares con NNyA a cargo y cuyos miembros responsables estuvieran desocupados o fueran informales de baja remuneración (trabajadoras domésticas, monotributistas, etc.). La AUH fue la primera política que oficialmente portó la denominación de “universal”, aunque incluye condicionalidades (más “blandas”, pero las tiene). </w:t>
      </w:r>
      <w:r w:rsidR="00E06C2A" w:rsidRPr="000022DE">
        <w:rPr>
          <w:rFonts w:ascii="Times New Roman" w:hAnsi="Times New Roman" w:cs="Times New Roman"/>
          <w:sz w:val="24"/>
          <w:szCs w:val="24"/>
        </w:rPr>
        <w:t xml:space="preserve">Su mayor diferencia con las políticas condicionadas de la década anterior es que </w:t>
      </w:r>
      <w:r w:rsidR="00E06C2A" w:rsidRPr="000022DE">
        <w:rPr>
          <w:rFonts w:ascii="Times New Roman" w:hAnsi="Times New Roman" w:cs="Times New Roman"/>
          <w:i/>
          <w:sz w:val="24"/>
          <w:szCs w:val="24"/>
        </w:rPr>
        <w:t xml:space="preserve">contraría íntegramente el principio de menor elegibilidad de la asistencia residual, pues su monto es el mayor de la escala. </w:t>
      </w:r>
      <w:r w:rsidR="00E06C2A" w:rsidRPr="000022DE">
        <w:rPr>
          <w:rFonts w:ascii="Times New Roman" w:hAnsi="Times New Roman" w:cs="Times New Roman"/>
          <w:sz w:val="24"/>
          <w:szCs w:val="24"/>
        </w:rPr>
        <w:t>En educación además absorbió las becas preexistentes, desterrando sus criterios meritocráticos.</w:t>
      </w:r>
    </w:p>
    <w:p w14:paraId="2E4C8FE7" w14:textId="77777777" w:rsidR="00C2584B" w:rsidRPr="006C42BE" w:rsidRDefault="00C2584B" w:rsidP="001E4181">
      <w:pPr>
        <w:spacing w:line="480" w:lineRule="auto"/>
        <w:ind w:left="-113"/>
        <w:rPr>
          <w:rFonts w:ascii="Times New Roman" w:eastAsia="Calibri" w:hAnsi="Times New Roman" w:cs="Times New Roman"/>
          <w:sz w:val="24"/>
          <w:szCs w:val="24"/>
          <w:lang w:val="es-MX"/>
        </w:rPr>
      </w:pPr>
      <w:r w:rsidRPr="006C42BE">
        <w:rPr>
          <w:rFonts w:ascii="Times New Roman" w:hAnsi="Times New Roman" w:cs="Times New Roman"/>
          <w:sz w:val="24"/>
          <w:szCs w:val="24"/>
        </w:rPr>
        <w:t xml:space="preserve">(v) Transferencias monetarias como subsidio a las cotizaciones (seguro “asistido”). Predominó en la seguridad social (jubilaciones y seguro de salud). La principal estrategia para el salto cuanti-cualitativo de las jubilaciones fue la </w:t>
      </w:r>
      <w:r w:rsidRPr="006C42BE">
        <w:rPr>
          <w:rFonts w:ascii="Times New Roman" w:eastAsia="Calibri" w:hAnsi="Times New Roman" w:cs="Times New Roman"/>
          <w:i/>
          <w:sz w:val="24"/>
          <w:szCs w:val="24"/>
        </w:rPr>
        <w:t>moratoria previsional</w:t>
      </w:r>
      <w:r w:rsidRPr="006C42BE">
        <w:rPr>
          <w:rFonts w:ascii="Times New Roman" w:eastAsia="Calibri" w:hAnsi="Times New Roman" w:cs="Times New Roman"/>
          <w:sz w:val="24"/>
          <w:szCs w:val="24"/>
        </w:rPr>
        <w:t xml:space="preserve">, mecanismo de </w:t>
      </w:r>
      <w:r w:rsidRPr="006C42BE">
        <w:rPr>
          <w:rFonts w:ascii="Times New Roman" w:eastAsia="Calibri" w:hAnsi="Times New Roman" w:cs="Times New Roman"/>
          <w:i/>
          <w:sz w:val="24"/>
          <w:szCs w:val="24"/>
        </w:rPr>
        <w:t xml:space="preserve">regularización de aportes </w:t>
      </w:r>
      <w:r w:rsidRPr="006C42BE">
        <w:rPr>
          <w:rFonts w:ascii="Times New Roman" w:eastAsia="Calibri" w:hAnsi="Times New Roman" w:cs="Times New Roman"/>
          <w:sz w:val="24"/>
          <w:szCs w:val="24"/>
        </w:rPr>
        <w:t>para cumplir con los requisitos contributivos y acceder inmediatamente al haber, del que se descontaba una cuota en un accesible plan de pagos</w:t>
      </w:r>
      <w:r w:rsidRPr="006C42BE">
        <w:rPr>
          <w:rFonts w:ascii="Times New Roman" w:eastAsia="Calibri" w:hAnsi="Times New Roman" w:cs="Times New Roman"/>
          <w:i/>
          <w:sz w:val="24"/>
          <w:szCs w:val="24"/>
        </w:rPr>
        <w:t xml:space="preserve">. </w:t>
      </w:r>
      <w:r w:rsidRPr="006C42BE">
        <w:rPr>
          <w:rFonts w:ascii="Times New Roman" w:eastAsia="Calibri" w:hAnsi="Times New Roman" w:cs="Times New Roman"/>
          <w:sz w:val="24"/>
          <w:szCs w:val="24"/>
        </w:rPr>
        <w:t xml:space="preserve">El dispositivo se basaba en </w:t>
      </w:r>
      <w:r w:rsidRPr="006C42BE">
        <w:rPr>
          <w:rFonts w:ascii="Times New Roman" w:eastAsia="Calibri" w:hAnsi="Times New Roman" w:cs="Times New Roman"/>
          <w:sz w:val="24"/>
          <w:szCs w:val="24"/>
          <w:lang w:val="es-MX"/>
        </w:rPr>
        <w:t xml:space="preserve">la declaración jurada del adulto mayor de que había trabajado sin integrar sus obligaciones por críticas condiciones laborales y de ingresos (Costa, Curcio y Grushka, 2014).  </w:t>
      </w:r>
    </w:p>
    <w:p w14:paraId="4A3957CD" w14:textId="77777777" w:rsidR="00C2584B" w:rsidRPr="006C42BE" w:rsidRDefault="00C2584B" w:rsidP="001E4181">
      <w:pPr>
        <w:spacing w:line="480" w:lineRule="auto"/>
        <w:ind w:left="-113"/>
        <w:rPr>
          <w:rFonts w:ascii="Times New Roman" w:hAnsi="Times New Roman" w:cs="Times New Roman"/>
          <w:sz w:val="24"/>
          <w:szCs w:val="24"/>
        </w:rPr>
      </w:pPr>
      <w:r w:rsidRPr="006C42BE">
        <w:rPr>
          <w:rFonts w:ascii="Times New Roman" w:eastAsia="Calibri" w:hAnsi="Times New Roman" w:cs="Times New Roman"/>
          <w:sz w:val="24"/>
          <w:szCs w:val="24"/>
          <w:lang w:val="es-MX"/>
        </w:rPr>
        <w:t xml:space="preserve">La inclusión de la moratoria entre los “subsidios a las cotizaciones” (Durán Valverde, 2007) remite al subsidio social/estatal del costo financiero. Más allá de aristas técnicas y procedimentales, es central analizar los contenidos político-culturales de los tipos de gestión. El aporte de Durán Valverde es valioso: los clásicos subsidios a las prestaciones, dice (el </w:t>
      </w:r>
      <w:r w:rsidRPr="006C42BE">
        <w:rPr>
          <w:rFonts w:ascii="Times New Roman" w:eastAsia="Calibri" w:hAnsi="Times New Roman" w:cs="Times New Roman"/>
          <w:i/>
          <w:sz w:val="24"/>
          <w:szCs w:val="24"/>
          <w:lang w:val="es-MX"/>
        </w:rPr>
        <w:t xml:space="preserve">Estado “completando” lo que </w:t>
      </w:r>
      <w:r w:rsidR="000022DE">
        <w:rPr>
          <w:rFonts w:ascii="Times New Roman" w:eastAsia="Calibri" w:hAnsi="Times New Roman" w:cs="Times New Roman"/>
          <w:i/>
          <w:sz w:val="24"/>
          <w:szCs w:val="24"/>
          <w:lang w:val="es-MX"/>
        </w:rPr>
        <w:t>las personas</w:t>
      </w:r>
      <w:r w:rsidRPr="006C42BE">
        <w:rPr>
          <w:rFonts w:ascii="Times New Roman" w:eastAsia="Calibri" w:hAnsi="Times New Roman" w:cs="Times New Roman"/>
          <w:i/>
          <w:sz w:val="24"/>
          <w:szCs w:val="24"/>
          <w:lang w:val="es-MX"/>
        </w:rPr>
        <w:t xml:space="preserve"> no alcanzaron a pagar por sí</w:t>
      </w:r>
      <w:r w:rsidRPr="006C42BE">
        <w:rPr>
          <w:rFonts w:ascii="Times New Roman" w:eastAsia="Calibri" w:hAnsi="Times New Roman" w:cs="Times New Roman"/>
          <w:sz w:val="24"/>
          <w:szCs w:val="24"/>
          <w:lang w:val="es-MX"/>
        </w:rPr>
        <w:t xml:space="preserve">), tienden a ser residualmente compensadores y a dar un estatus inferior a la prestación. En cambio, el subsidio a las cotizaciones opera en el acceso, de manera que </w:t>
      </w:r>
      <w:r w:rsidRPr="006C42BE">
        <w:rPr>
          <w:rFonts w:ascii="Times New Roman" w:eastAsia="Calibri" w:hAnsi="Times New Roman" w:cs="Times New Roman"/>
          <w:i/>
          <w:sz w:val="24"/>
          <w:szCs w:val="24"/>
          <w:lang w:val="es-MX"/>
        </w:rPr>
        <w:t xml:space="preserve">todas las personas, aun con capacidad contributiva individual limitada, se integran a la misma </w:t>
      </w:r>
      <w:r w:rsidRPr="006C42BE">
        <w:rPr>
          <w:rFonts w:ascii="Times New Roman" w:eastAsia="Calibri" w:hAnsi="Times New Roman" w:cs="Times New Roman"/>
          <w:i/>
          <w:sz w:val="24"/>
          <w:szCs w:val="24"/>
          <w:lang w:val="es-MX"/>
        </w:rPr>
        <w:lastRenderedPageBreak/>
        <w:t>institución</w:t>
      </w:r>
      <w:r w:rsidRPr="006C42BE">
        <w:rPr>
          <w:rFonts w:ascii="Times New Roman" w:eastAsia="Calibri" w:hAnsi="Times New Roman" w:cs="Times New Roman"/>
          <w:sz w:val="24"/>
          <w:szCs w:val="24"/>
          <w:lang w:val="es-MX"/>
        </w:rPr>
        <w:t xml:space="preserve">. Así se busca </w:t>
      </w:r>
      <w:r w:rsidRPr="006C42BE">
        <w:rPr>
          <w:rFonts w:ascii="Times New Roman" w:eastAsia="Calibri" w:hAnsi="Times New Roman" w:cs="Times New Roman"/>
          <w:sz w:val="24"/>
          <w:szCs w:val="24"/>
        </w:rPr>
        <w:t xml:space="preserve">evitar la selección adversa de las entidades y/o la estigmatización social del “bono”, “plan”, etc. La </w:t>
      </w:r>
      <w:r w:rsidR="000022DE">
        <w:rPr>
          <w:rFonts w:ascii="Times New Roman" w:eastAsia="Calibri" w:hAnsi="Times New Roman" w:cs="Times New Roman"/>
          <w:sz w:val="24"/>
          <w:szCs w:val="24"/>
        </w:rPr>
        <w:t xml:space="preserve">analizada </w:t>
      </w:r>
      <w:r w:rsidRPr="006C42BE">
        <w:rPr>
          <w:rFonts w:ascii="Times New Roman" w:eastAsia="Calibri" w:hAnsi="Times New Roman" w:cs="Times New Roman"/>
          <w:sz w:val="24"/>
          <w:szCs w:val="24"/>
        </w:rPr>
        <w:t>expansión de la cobertura previsional es íntegramente atribuible a esta estrategia.</w:t>
      </w:r>
    </w:p>
    <w:p w14:paraId="14EA26DF" w14:textId="77777777" w:rsidR="00F81417" w:rsidRPr="006C42BE" w:rsidRDefault="00F81417" w:rsidP="001E4181">
      <w:pPr>
        <w:pStyle w:val="Prrafodelista"/>
        <w:numPr>
          <w:ilvl w:val="0"/>
          <w:numId w:val="1"/>
        </w:numPr>
        <w:spacing w:after="0" w:line="360" w:lineRule="auto"/>
        <w:rPr>
          <w:rFonts w:ascii="Times New Roman" w:eastAsia="Calibri" w:hAnsi="Times New Roman" w:cs="Times New Roman"/>
          <w:sz w:val="24"/>
          <w:szCs w:val="24"/>
        </w:rPr>
      </w:pPr>
      <w:r w:rsidRPr="006C42BE">
        <w:rPr>
          <w:rFonts w:ascii="Times New Roman" w:eastAsia="Calibri" w:hAnsi="Times New Roman" w:cs="Times New Roman"/>
          <w:b/>
          <w:sz w:val="24"/>
          <w:szCs w:val="24"/>
        </w:rPr>
        <w:t>Desafíos de la protección y el bienestar: pasado, presente y futuro</w:t>
      </w:r>
    </w:p>
    <w:p w14:paraId="75E1F2DA" w14:textId="77777777" w:rsidR="00F81417" w:rsidRPr="006C42BE" w:rsidRDefault="00F81417" w:rsidP="001E4181">
      <w:pPr>
        <w:pStyle w:val="Prrafodelista"/>
        <w:spacing w:after="0" w:line="360" w:lineRule="auto"/>
        <w:ind w:left="360"/>
        <w:rPr>
          <w:rFonts w:ascii="Times New Roman" w:eastAsia="Calibri" w:hAnsi="Times New Roman" w:cs="Times New Roman"/>
          <w:sz w:val="24"/>
          <w:szCs w:val="24"/>
        </w:rPr>
      </w:pPr>
    </w:p>
    <w:p w14:paraId="782E9E16" w14:textId="77777777" w:rsidR="00EE284F" w:rsidRPr="006C42BE" w:rsidRDefault="00F81417"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“Vocación reformista”, re-nacionalización de la cuestión social y vigencia de lógica matricial (</w:t>
      </w:r>
      <w:r w:rsidR="0046372A" w:rsidRPr="006C42BE">
        <w:rPr>
          <w:rFonts w:ascii="Times New Roman" w:eastAsia="Calibri" w:hAnsi="Times New Roman" w:cs="Times New Roman"/>
          <w:sz w:val="24"/>
          <w:szCs w:val="24"/>
        </w:rPr>
        <w:t>con horizontes “inclusivos</w:t>
      </w:r>
      <w:r w:rsidRPr="006C42BE">
        <w:rPr>
          <w:rFonts w:ascii="Times New Roman" w:eastAsia="Calibri" w:hAnsi="Times New Roman" w:cs="Times New Roman"/>
          <w:sz w:val="24"/>
          <w:szCs w:val="24"/>
        </w:rPr>
        <w:t xml:space="preserve">”); </w:t>
      </w:r>
      <w:r w:rsidR="0046372A" w:rsidRPr="006C42BE">
        <w:rPr>
          <w:rFonts w:ascii="Times New Roman" w:eastAsia="Calibri" w:hAnsi="Times New Roman" w:cs="Times New Roman"/>
          <w:sz w:val="24"/>
          <w:szCs w:val="24"/>
        </w:rPr>
        <w:t xml:space="preserve">propensión a </w:t>
      </w:r>
      <w:r w:rsidRPr="006C42BE">
        <w:rPr>
          <w:rFonts w:ascii="Times New Roman" w:eastAsia="Calibri" w:hAnsi="Times New Roman" w:cs="Times New Roman"/>
          <w:sz w:val="24"/>
          <w:szCs w:val="24"/>
        </w:rPr>
        <w:t>control</w:t>
      </w:r>
      <w:r w:rsidR="0046372A" w:rsidRPr="006C42BE">
        <w:rPr>
          <w:rFonts w:ascii="Times New Roman" w:eastAsia="Calibri" w:hAnsi="Times New Roman" w:cs="Times New Roman"/>
          <w:sz w:val="24"/>
          <w:szCs w:val="24"/>
        </w:rPr>
        <w:t>ar</w:t>
      </w:r>
      <w:r w:rsidRPr="006C42BE">
        <w:rPr>
          <w:rFonts w:ascii="Times New Roman" w:eastAsia="Calibri" w:hAnsi="Times New Roman" w:cs="Times New Roman"/>
          <w:sz w:val="24"/>
          <w:szCs w:val="24"/>
        </w:rPr>
        <w:t xml:space="preserve"> y regula</w:t>
      </w:r>
      <w:r w:rsidR="0046372A" w:rsidRPr="006C42BE">
        <w:rPr>
          <w:rFonts w:ascii="Times New Roman" w:eastAsia="Calibri" w:hAnsi="Times New Roman" w:cs="Times New Roman"/>
          <w:sz w:val="24"/>
          <w:szCs w:val="24"/>
        </w:rPr>
        <w:t>r;</w:t>
      </w:r>
      <w:r w:rsidRPr="006C42BE">
        <w:rPr>
          <w:rFonts w:ascii="Times New Roman" w:eastAsia="Calibri" w:hAnsi="Times New Roman" w:cs="Times New Roman"/>
          <w:sz w:val="24"/>
          <w:szCs w:val="24"/>
        </w:rPr>
        <w:t xml:space="preserve"> más provisión pública en especies y dinero y </w:t>
      </w:r>
      <w:r w:rsidR="0046372A" w:rsidRPr="006C42BE">
        <w:rPr>
          <w:rFonts w:ascii="Times New Roman" w:eastAsia="Calibri" w:hAnsi="Times New Roman" w:cs="Times New Roman"/>
          <w:sz w:val="24"/>
          <w:szCs w:val="24"/>
        </w:rPr>
        <w:t xml:space="preserve">pretensión de </w:t>
      </w:r>
      <w:r w:rsidRPr="006C42BE">
        <w:rPr>
          <w:rFonts w:ascii="Times New Roman" w:eastAsia="Calibri" w:hAnsi="Times New Roman" w:cs="Times New Roman"/>
          <w:sz w:val="24"/>
          <w:szCs w:val="24"/>
        </w:rPr>
        <w:t>remo</w:t>
      </w:r>
      <w:r w:rsidR="0046372A" w:rsidRPr="006C42BE">
        <w:rPr>
          <w:rFonts w:ascii="Times New Roman" w:eastAsia="Calibri" w:hAnsi="Times New Roman" w:cs="Times New Roman"/>
          <w:sz w:val="24"/>
          <w:szCs w:val="24"/>
        </w:rPr>
        <w:t>ver</w:t>
      </w:r>
      <w:r w:rsidRPr="006C42BE">
        <w:rPr>
          <w:rFonts w:ascii="Times New Roman" w:eastAsia="Calibri" w:hAnsi="Times New Roman" w:cs="Times New Roman"/>
          <w:sz w:val="24"/>
          <w:szCs w:val="24"/>
        </w:rPr>
        <w:t xml:space="preserve"> dispositivos de segmentación. Esta  podría ser </w:t>
      </w:r>
      <w:r w:rsidR="003D5C34" w:rsidRPr="006C42BE">
        <w:rPr>
          <w:rFonts w:ascii="Times New Roman" w:eastAsia="Calibri" w:hAnsi="Times New Roman" w:cs="Times New Roman"/>
          <w:sz w:val="24"/>
          <w:szCs w:val="24"/>
        </w:rPr>
        <w:t>una</w:t>
      </w:r>
      <w:r w:rsidRPr="006C42BE">
        <w:rPr>
          <w:rFonts w:ascii="Times New Roman" w:eastAsia="Calibri" w:hAnsi="Times New Roman" w:cs="Times New Roman"/>
          <w:sz w:val="24"/>
          <w:szCs w:val="24"/>
        </w:rPr>
        <w:t xml:space="preserve"> enumeración introductoria </w:t>
      </w:r>
      <w:r w:rsidR="003D5C34" w:rsidRPr="006C42BE">
        <w:rPr>
          <w:rFonts w:ascii="Times New Roman" w:eastAsia="Calibri" w:hAnsi="Times New Roman" w:cs="Times New Roman"/>
          <w:sz w:val="24"/>
          <w:szCs w:val="24"/>
        </w:rPr>
        <w:t xml:space="preserve">para explorar las articulaciones entre “proyecto político” y </w:t>
      </w:r>
      <w:r w:rsidRPr="006C42BE">
        <w:rPr>
          <w:rFonts w:ascii="Times New Roman" w:eastAsia="Calibri" w:hAnsi="Times New Roman" w:cs="Times New Roman"/>
          <w:sz w:val="24"/>
          <w:szCs w:val="24"/>
        </w:rPr>
        <w:t>protección social</w:t>
      </w:r>
      <w:r w:rsidR="003D5C34" w:rsidRPr="006C42BE">
        <w:rPr>
          <w:rFonts w:ascii="Times New Roman" w:eastAsia="Calibri" w:hAnsi="Times New Roman" w:cs="Times New Roman"/>
          <w:sz w:val="24"/>
          <w:szCs w:val="24"/>
        </w:rPr>
        <w:t xml:space="preserve">. </w:t>
      </w:r>
      <w:r w:rsidR="00EE284F" w:rsidRPr="00222F0B">
        <w:rPr>
          <w:rFonts w:ascii="Times New Roman" w:eastAsia="Calibri" w:hAnsi="Times New Roman" w:cs="Times New Roman"/>
          <w:sz w:val="24"/>
          <w:szCs w:val="24"/>
          <w:highlight w:val="yellow"/>
        </w:rPr>
        <w:t xml:space="preserve">Con esto queremos decir que por un lado exponemos deliberadamente las </w:t>
      </w:r>
      <w:r w:rsidR="00EE284F" w:rsidRPr="00222F0B">
        <w:rPr>
          <w:rFonts w:ascii="Times New Roman" w:eastAsia="Calibri" w:hAnsi="Times New Roman" w:cs="Times New Roman"/>
          <w:i/>
          <w:sz w:val="24"/>
          <w:szCs w:val="24"/>
          <w:highlight w:val="yellow"/>
        </w:rPr>
        <w:t xml:space="preserve">opciones </w:t>
      </w:r>
      <w:r w:rsidR="0070591D" w:rsidRPr="00222F0B">
        <w:rPr>
          <w:rFonts w:ascii="Times New Roman" w:eastAsia="Calibri" w:hAnsi="Times New Roman" w:cs="Times New Roman"/>
          <w:i/>
          <w:sz w:val="24"/>
          <w:szCs w:val="24"/>
          <w:highlight w:val="yellow"/>
        </w:rPr>
        <w:t xml:space="preserve">seguidas </w:t>
      </w:r>
      <w:r w:rsidR="00EE284F" w:rsidRPr="00222F0B">
        <w:rPr>
          <w:rFonts w:ascii="Times New Roman" w:eastAsia="Calibri" w:hAnsi="Times New Roman" w:cs="Times New Roman"/>
          <w:i/>
          <w:sz w:val="24"/>
          <w:szCs w:val="24"/>
          <w:highlight w:val="yellow"/>
        </w:rPr>
        <w:t>(</w:t>
      </w:r>
      <w:r w:rsidR="00EE284F" w:rsidRPr="00222F0B">
        <w:rPr>
          <w:rFonts w:ascii="Times New Roman" w:eastAsia="Calibri" w:hAnsi="Times New Roman" w:cs="Times New Roman"/>
          <w:sz w:val="24"/>
          <w:szCs w:val="24"/>
          <w:highlight w:val="yellow"/>
        </w:rPr>
        <w:t>decimos vocación, propensión, pretensión), pero por otro es preciso contrastar estos objetivos y aquellos instrumentos contra los resultados.</w:t>
      </w:r>
      <w:r w:rsidR="00EE284F" w:rsidRPr="006C42BE">
        <w:rPr>
          <w:rFonts w:ascii="Times New Roman" w:eastAsia="Calibri" w:hAnsi="Times New Roman" w:cs="Times New Roman"/>
          <w:sz w:val="24"/>
          <w:szCs w:val="24"/>
        </w:rPr>
        <w:t xml:space="preserve"> </w:t>
      </w:r>
    </w:p>
    <w:p w14:paraId="2F73ACCD" w14:textId="77777777" w:rsidR="00F81417" w:rsidRPr="006C42BE" w:rsidRDefault="00EE284F"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 xml:space="preserve">Adultos y adultas mayores y </w:t>
      </w:r>
      <w:r w:rsidR="00F81417" w:rsidRPr="006C42BE">
        <w:rPr>
          <w:rFonts w:ascii="Times New Roman" w:eastAsia="Calibri" w:hAnsi="Times New Roman" w:cs="Times New Roman"/>
          <w:sz w:val="24"/>
          <w:szCs w:val="24"/>
        </w:rPr>
        <w:t xml:space="preserve">NNyA alcanzaron los más altos niveles de protección institucionalizada, y en </w:t>
      </w:r>
      <w:r w:rsidRPr="006C42BE">
        <w:rPr>
          <w:rFonts w:ascii="Times New Roman" w:eastAsia="Calibri" w:hAnsi="Times New Roman" w:cs="Times New Roman"/>
          <w:sz w:val="24"/>
          <w:szCs w:val="24"/>
        </w:rPr>
        <w:t>el primer</w:t>
      </w:r>
      <w:r w:rsidR="00F81417" w:rsidRPr="006C42BE">
        <w:rPr>
          <w:rFonts w:ascii="Times New Roman" w:eastAsia="Calibri" w:hAnsi="Times New Roman" w:cs="Times New Roman"/>
          <w:sz w:val="24"/>
          <w:szCs w:val="24"/>
        </w:rPr>
        <w:t xml:space="preserve"> grupo la seguridad social </w:t>
      </w:r>
      <w:r w:rsidRPr="006C42BE">
        <w:rPr>
          <w:rFonts w:ascii="Times New Roman" w:eastAsia="Calibri" w:hAnsi="Times New Roman" w:cs="Times New Roman"/>
          <w:sz w:val="24"/>
          <w:szCs w:val="24"/>
        </w:rPr>
        <w:t>fue capaz de</w:t>
      </w:r>
      <w:r w:rsidR="00F81417" w:rsidRPr="006C42BE">
        <w:rPr>
          <w:rFonts w:ascii="Times New Roman" w:eastAsia="Calibri" w:hAnsi="Times New Roman" w:cs="Times New Roman"/>
          <w:sz w:val="24"/>
          <w:szCs w:val="24"/>
        </w:rPr>
        <w:t xml:space="preserve"> reducir y hasta invertir las brechas de género </w:t>
      </w:r>
      <w:r w:rsidR="00F81417" w:rsidRPr="006C42BE">
        <w:rPr>
          <w:rStyle w:val="Refdenotaalpie"/>
          <w:rFonts w:ascii="Times New Roman" w:eastAsia="Calibri" w:hAnsi="Times New Roman" w:cs="Times New Roman"/>
          <w:sz w:val="24"/>
          <w:szCs w:val="24"/>
        </w:rPr>
        <w:footnoteReference w:id="15"/>
      </w:r>
      <w:r w:rsidR="00F81417" w:rsidRPr="006C42BE">
        <w:rPr>
          <w:rFonts w:ascii="Times New Roman" w:eastAsia="Calibri" w:hAnsi="Times New Roman" w:cs="Times New Roman"/>
          <w:sz w:val="24"/>
          <w:szCs w:val="24"/>
        </w:rPr>
        <w:t xml:space="preserve">. También a escala territorial </w:t>
      </w:r>
      <w:r w:rsidR="0070591D" w:rsidRPr="006C42BE">
        <w:rPr>
          <w:rFonts w:ascii="Times New Roman" w:eastAsia="Calibri" w:hAnsi="Times New Roman" w:cs="Times New Roman"/>
          <w:sz w:val="24"/>
          <w:szCs w:val="24"/>
        </w:rPr>
        <w:t>hubo</w:t>
      </w:r>
      <w:r w:rsidR="00F81417" w:rsidRPr="006C42BE">
        <w:rPr>
          <w:rFonts w:ascii="Times New Roman" w:eastAsia="Calibri" w:hAnsi="Times New Roman" w:cs="Times New Roman"/>
          <w:sz w:val="24"/>
          <w:szCs w:val="24"/>
        </w:rPr>
        <w:t xml:space="preserve"> un efecto de reducción de desigualdades por los sistemas de protección: una encuesta de escala nacional de 2014-2015 muestra similar cobertura aún en las regiones más desaventajadas, con pisos de 80 % para AM (Danani y Grassi, 20</w:t>
      </w:r>
      <w:r w:rsidR="004E224F" w:rsidRPr="006C42BE">
        <w:rPr>
          <w:rFonts w:ascii="Times New Roman" w:eastAsia="Calibri" w:hAnsi="Times New Roman" w:cs="Times New Roman"/>
          <w:sz w:val="24"/>
          <w:szCs w:val="24"/>
        </w:rPr>
        <w:t>18). Sin embargo, ello está muy lejos de abatir la pobreza que, como ya dijimos, siguió aquejando a un mínimo cercano al 20 % de la población</w:t>
      </w:r>
      <w:r w:rsidR="0070591D" w:rsidRPr="006C42BE">
        <w:rPr>
          <w:rFonts w:ascii="Times New Roman" w:eastAsia="Calibri" w:hAnsi="Times New Roman" w:cs="Times New Roman"/>
          <w:sz w:val="24"/>
          <w:szCs w:val="24"/>
        </w:rPr>
        <w:t xml:space="preserve"> en las estimaciones más optimistas</w:t>
      </w:r>
      <w:r w:rsidR="004E224F" w:rsidRPr="006C42BE">
        <w:rPr>
          <w:rFonts w:ascii="Times New Roman" w:eastAsia="Calibri" w:hAnsi="Times New Roman" w:cs="Times New Roman"/>
          <w:sz w:val="24"/>
          <w:szCs w:val="24"/>
        </w:rPr>
        <w:t xml:space="preserve">. </w:t>
      </w:r>
    </w:p>
    <w:p w14:paraId="03B9033A" w14:textId="77777777"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lastRenderedPageBreak/>
        <w:t xml:space="preserve">Ahora bien: </w:t>
      </w:r>
      <w:r w:rsidR="0070591D" w:rsidRPr="006C42BE">
        <w:rPr>
          <w:rFonts w:ascii="Times New Roman" w:hAnsi="Times New Roman" w:cs="Times New Roman"/>
          <w:sz w:val="24"/>
          <w:szCs w:val="24"/>
        </w:rPr>
        <w:t>mirando</w:t>
      </w:r>
      <w:r w:rsidRPr="006C42BE">
        <w:rPr>
          <w:rFonts w:ascii="Times New Roman" w:hAnsi="Times New Roman" w:cs="Times New Roman"/>
          <w:sz w:val="24"/>
          <w:szCs w:val="24"/>
        </w:rPr>
        <w:t xml:space="preserve"> con detenimiento </w:t>
      </w:r>
      <w:commentRangeStart w:id="18"/>
      <w:r w:rsidRPr="006C42BE">
        <w:rPr>
          <w:rFonts w:ascii="Times New Roman" w:hAnsi="Times New Roman" w:cs="Times New Roman"/>
          <w:sz w:val="24"/>
          <w:szCs w:val="24"/>
        </w:rPr>
        <w:t>y sin prejuicios</w:t>
      </w:r>
      <w:commentRangeEnd w:id="18"/>
      <w:r w:rsidR="00A0399F">
        <w:rPr>
          <w:rStyle w:val="Refdecomentario"/>
        </w:rPr>
        <w:commentReference w:id="18"/>
      </w:r>
      <w:r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se ve</w:t>
      </w:r>
      <w:r w:rsidRPr="006C42BE">
        <w:rPr>
          <w:rFonts w:ascii="Times New Roman" w:hAnsi="Times New Roman" w:cs="Times New Roman"/>
          <w:sz w:val="24"/>
          <w:szCs w:val="24"/>
        </w:rPr>
        <w:t xml:space="preserve"> que </w:t>
      </w:r>
      <w:r w:rsidR="004E224F" w:rsidRPr="006C42BE">
        <w:rPr>
          <w:rFonts w:ascii="Times New Roman" w:hAnsi="Times New Roman" w:cs="Times New Roman"/>
          <w:sz w:val="24"/>
          <w:szCs w:val="24"/>
        </w:rPr>
        <w:t xml:space="preserve">los cambios descriptos </w:t>
      </w:r>
      <w:r w:rsidR="0070591D" w:rsidRPr="006C42BE">
        <w:rPr>
          <w:rFonts w:ascii="Times New Roman" w:hAnsi="Times New Roman" w:cs="Times New Roman"/>
          <w:sz w:val="24"/>
          <w:szCs w:val="24"/>
        </w:rPr>
        <w:t>(</w:t>
      </w:r>
      <w:r w:rsidR="00261D2D" w:rsidRPr="006C42BE">
        <w:rPr>
          <w:rFonts w:ascii="Times New Roman" w:hAnsi="Times New Roman" w:cs="Times New Roman"/>
          <w:sz w:val="24"/>
          <w:szCs w:val="24"/>
        </w:rPr>
        <w:t>sintetizados</w:t>
      </w:r>
      <w:r w:rsidR="004E224F" w:rsidRPr="006C42BE">
        <w:rPr>
          <w:rFonts w:ascii="Times New Roman" w:hAnsi="Times New Roman" w:cs="Times New Roman"/>
          <w:sz w:val="24"/>
          <w:szCs w:val="24"/>
        </w:rPr>
        <w:t xml:space="preserve"> en Cuadro 1</w:t>
      </w:r>
      <w:r w:rsidR="0070591D" w:rsidRPr="006C42BE">
        <w:rPr>
          <w:rFonts w:ascii="Times New Roman" w:hAnsi="Times New Roman" w:cs="Times New Roman"/>
          <w:sz w:val="24"/>
          <w:szCs w:val="24"/>
        </w:rPr>
        <w:t>)</w:t>
      </w:r>
      <w:r w:rsidR="004E224F" w:rsidRPr="006C42BE">
        <w:rPr>
          <w:rFonts w:ascii="Times New Roman" w:hAnsi="Times New Roman" w:cs="Times New Roman"/>
          <w:sz w:val="24"/>
          <w:szCs w:val="24"/>
        </w:rPr>
        <w:t xml:space="preserve"> no desafiaron</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la estructura</w:t>
      </w:r>
      <w:r w:rsidRPr="006C42BE">
        <w:rPr>
          <w:rFonts w:ascii="Times New Roman" w:hAnsi="Times New Roman" w:cs="Times New Roman"/>
          <w:sz w:val="24"/>
          <w:szCs w:val="24"/>
        </w:rPr>
        <w:t xml:space="preserve"> histórica de la política social argentina, que </w:t>
      </w:r>
      <w:r w:rsidR="00261D2D" w:rsidRPr="006C42BE">
        <w:rPr>
          <w:rFonts w:ascii="Times New Roman" w:hAnsi="Times New Roman" w:cs="Times New Roman"/>
          <w:sz w:val="24"/>
          <w:szCs w:val="24"/>
        </w:rPr>
        <w:t>permaneció</w:t>
      </w:r>
      <w:r w:rsidR="0070591D" w:rsidRPr="006C42BE">
        <w:rPr>
          <w:rFonts w:ascii="Times New Roman" w:hAnsi="Times New Roman" w:cs="Times New Roman"/>
          <w:sz w:val="24"/>
          <w:szCs w:val="24"/>
        </w:rPr>
        <w:t xml:space="preserve"> casi </w:t>
      </w:r>
      <w:r w:rsidRPr="006C42BE">
        <w:rPr>
          <w:rFonts w:ascii="Times New Roman" w:hAnsi="Times New Roman" w:cs="Times New Roman"/>
          <w:sz w:val="24"/>
          <w:szCs w:val="24"/>
        </w:rPr>
        <w:t>intacta (</w:t>
      </w:r>
      <w:r w:rsidR="0070591D" w:rsidRPr="006C42BE">
        <w:rPr>
          <w:rFonts w:ascii="Times New Roman" w:hAnsi="Times New Roman" w:cs="Times New Roman"/>
          <w:sz w:val="24"/>
          <w:szCs w:val="24"/>
        </w:rPr>
        <w:t xml:space="preserve">ver distintas </w:t>
      </w:r>
      <w:r w:rsidR="00132E2B" w:rsidRPr="006C42BE">
        <w:rPr>
          <w:rFonts w:ascii="Times New Roman" w:hAnsi="Times New Roman" w:cs="Times New Roman"/>
          <w:sz w:val="24"/>
          <w:szCs w:val="24"/>
        </w:rPr>
        <w:t>reconstrucciones</w:t>
      </w:r>
      <w:r w:rsidR="00261D2D"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 xml:space="preserve">en </w:t>
      </w:r>
      <w:r w:rsidRPr="006C42BE">
        <w:rPr>
          <w:rFonts w:ascii="Times New Roman" w:hAnsi="Times New Roman" w:cs="Times New Roman"/>
          <w:sz w:val="24"/>
          <w:szCs w:val="24"/>
        </w:rPr>
        <w:t>Soldano y Andrenacci, 2006 y Golbert, 2010</w:t>
      </w:r>
      <w:r w:rsidR="0070591D" w:rsidRPr="006C42BE">
        <w:rPr>
          <w:rFonts w:ascii="Times New Roman" w:hAnsi="Times New Roman" w:cs="Times New Roman"/>
          <w:sz w:val="24"/>
          <w:szCs w:val="24"/>
        </w:rPr>
        <w:t>)</w:t>
      </w:r>
      <w:r w:rsidRPr="006C42BE">
        <w:rPr>
          <w:rFonts w:ascii="Times New Roman" w:hAnsi="Times New Roman" w:cs="Times New Roman"/>
          <w:sz w:val="24"/>
          <w:szCs w:val="24"/>
        </w:rPr>
        <w:t>. Empezamos por salud y educación, en los cuales la provisión pública continúa siendo medular</w:t>
      </w:r>
      <w:r w:rsidR="00261D2D" w:rsidRPr="006C42BE">
        <w:rPr>
          <w:rFonts w:ascii="Times New Roman" w:hAnsi="Times New Roman" w:cs="Times New Roman"/>
          <w:sz w:val="24"/>
          <w:szCs w:val="24"/>
        </w:rPr>
        <w:t>:</w:t>
      </w:r>
      <w:r w:rsidRPr="006C42BE">
        <w:rPr>
          <w:rFonts w:ascii="Times New Roman" w:hAnsi="Times New Roman" w:cs="Times New Roman"/>
          <w:sz w:val="24"/>
          <w:szCs w:val="24"/>
        </w:rPr>
        <w:t xml:space="preserve"> su presencia, fortaleza, condiciones y confiabilidad </w:t>
      </w:r>
      <w:commentRangeStart w:id="19"/>
      <w:r w:rsidRPr="006C42BE">
        <w:rPr>
          <w:rFonts w:ascii="Times New Roman" w:hAnsi="Times New Roman" w:cs="Times New Roman"/>
          <w:sz w:val="24"/>
          <w:szCs w:val="24"/>
        </w:rPr>
        <w:t>(y sus contrarios</w:t>
      </w:r>
      <w:commentRangeEnd w:id="19"/>
      <w:r w:rsidR="00786E91">
        <w:rPr>
          <w:rStyle w:val="Refdecomentario"/>
        </w:rPr>
        <w:commentReference w:id="19"/>
      </w:r>
      <w:r w:rsidRPr="006C42BE">
        <w:rPr>
          <w:rFonts w:ascii="Times New Roman" w:hAnsi="Times New Roman" w:cs="Times New Roman"/>
          <w:sz w:val="24"/>
          <w:szCs w:val="24"/>
        </w:rPr>
        <w:t xml:space="preserve">) marcan el pulso de la oferta privada. Con sus particularidades, dos movimientos </w:t>
      </w:r>
      <w:r w:rsidR="008F60B5" w:rsidRPr="006C42BE">
        <w:rPr>
          <w:rFonts w:ascii="Times New Roman" w:hAnsi="Times New Roman" w:cs="Times New Roman"/>
          <w:sz w:val="24"/>
          <w:szCs w:val="24"/>
        </w:rPr>
        <w:t>(</w:t>
      </w:r>
      <w:r w:rsidR="008F60B5" w:rsidRPr="006C42BE">
        <w:rPr>
          <w:rFonts w:ascii="Times New Roman" w:hAnsi="Times New Roman" w:cs="Times New Roman"/>
          <w:i/>
          <w:sz w:val="24"/>
          <w:szCs w:val="24"/>
        </w:rPr>
        <w:t>de las intervenciones</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caracterizaron a ambos sectores</w:t>
      </w:r>
      <w:r w:rsidR="00533365" w:rsidRPr="006C42BE">
        <w:rPr>
          <w:rFonts w:ascii="Times New Roman" w:hAnsi="Times New Roman" w:cs="Times New Roman"/>
          <w:sz w:val="24"/>
          <w:szCs w:val="24"/>
        </w:rPr>
        <w:t xml:space="preserve">: </w:t>
      </w:r>
      <w:r w:rsidR="00533365" w:rsidRPr="00A0399F">
        <w:rPr>
          <w:rFonts w:ascii="Times New Roman" w:hAnsi="Times New Roman" w:cs="Times New Roman"/>
          <w:sz w:val="24"/>
          <w:szCs w:val="24"/>
          <w:highlight w:val="yellow"/>
        </w:rPr>
        <w:t xml:space="preserve">el primero se dirigió </w:t>
      </w:r>
      <w:r w:rsidRPr="00A0399F">
        <w:rPr>
          <w:rFonts w:ascii="Times New Roman" w:hAnsi="Times New Roman" w:cs="Times New Roman"/>
          <w:sz w:val="24"/>
          <w:szCs w:val="24"/>
          <w:highlight w:val="yellow"/>
        </w:rPr>
        <w:t>a recuperar la capacidad público-estatal de proveer bienestar en el sentido</w:t>
      </w:r>
      <w:r w:rsidR="008F60B5" w:rsidRPr="00A0399F">
        <w:rPr>
          <w:rFonts w:ascii="Times New Roman" w:hAnsi="Times New Roman" w:cs="Times New Roman"/>
          <w:sz w:val="24"/>
          <w:szCs w:val="24"/>
          <w:highlight w:val="yellow"/>
        </w:rPr>
        <w:t xml:space="preserve"> puro y directo </w:t>
      </w:r>
      <w:r w:rsidRPr="00A0399F">
        <w:rPr>
          <w:rFonts w:ascii="Times New Roman" w:hAnsi="Times New Roman" w:cs="Times New Roman"/>
          <w:sz w:val="24"/>
          <w:szCs w:val="24"/>
          <w:highlight w:val="yellow"/>
        </w:rPr>
        <w:t xml:space="preserve">de la </w:t>
      </w:r>
      <w:r w:rsidRPr="00A0399F">
        <w:rPr>
          <w:rFonts w:ascii="Times New Roman" w:hAnsi="Times New Roman" w:cs="Times New Roman"/>
          <w:i/>
          <w:sz w:val="24"/>
          <w:szCs w:val="24"/>
          <w:highlight w:val="yellow"/>
        </w:rPr>
        <w:t>provisión.</w:t>
      </w:r>
      <w:r w:rsidR="008F60B5" w:rsidRPr="006C42BE">
        <w:rPr>
          <w:rFonts w:ascii="Times New Roman" w:hAnsi="Times New Roman" w:cs="Times New Roman"/>
          <w:i/>
          <w:sz w:val="24"/>
          <w:szCs w:val="24"/>
        </w:rPr>
        <w:t xml:space="preserve"> </w:t>
      </w:r>
      <w:r w:rsidR="008F60B5" w:rsidRPr="006C42BE">
        <w:rPr>
          <w:rFonts w:ascii="Times New Roman" w:hAnsi="Times New Roman" w:cs="Times New Roman"/>
          <w:sz w:val="24"/>
          <w:szCs w:val="24"/>
        </w:rPr>
        <w:t>Así se emprendió una m</w:t>
      </w:r>
      <w:r w:rsidRPr="006C42BE">
        <w:rPr>
          <w:rFonts w:ascii="Times New Roman" w:hAnsi="Times New Roman" w:cs="Times New Roman"/>
          <w:sz w:val="24"/>
          <w:szCs w:val="24"/>
        </w:rPr>
        <w:t>ayor y mejor oferta estatal sanitaria y educativa de servicios e infraestructur</w:t>
      </w:r>
      <w:r w:rsidR="008F60B5" w:rsidRPr="006C42BE">
        <w:rPr>
          <w:rFonts w:ascii="Times New Roman" w:hAnsi="Times New Roman" w:cs="Times New Roman"/>
          <w:sz w:val="24"/>
          <w:szCs w:val="24"/>
        </w:rPr>
        <w:t>a, intent</w:t>
      </w:r>
      <w:r w:rsidR="00533365" w:rsidRPr="006C42BE">
        <w:rPr>
          <w:rFonts w:ascii="Times New Roman" w:hAnsi="Times New Roman" w:cs="Times New Roman"/>
          <w:sz w:val="24"/>
          <w:szCs w:val="24"/>
        </w:rPr>
        <w:t xml:space="preserve">ando también </w:t>
      </w:r>
      <w:r w:rsidR="008F60B5" w:rsidRPr="006C42BE">
        <w:rPr>
          <w:rFonts w:ascii="Times New Roman" w:hAnsi="Times New Roman" w:cs="Times New Roman"/>
          <w:sz w:val="24"/>
          <w:szCs w:val="24"/>
        </w:rPr>
        <w:t>jerarquizarlos</w:t>
      </w:r>
      <w:r w:rsidR="00132E2B" w:rsidRPr="006C42BE">
        <w:rPr>
          <w:rFonts w:ascii="Times New Roman" w:hAnsi="Times New Roman" w:cs="Times New Roman"/>
          <w:sz w:val="24"/>
          <w:szCs w:val="24"/>
        </w:rPr>
        <w:t xml:space="preserve">, lo que implicaba </w:t>
      </w:r>
      <w:r w:rsidR="008F60B5" w:rsidRPr="006C42BE">
        <w:rPr>
          <w:rFonts w:ascii="Times New Roman" w:hAnsi="Times New Roman" w:cs="Times New Roman"/>
          <w:sz w:val="24"/>
          <w:szCs w:val="24"/>
        </w:rPr>
        <w:t>trasc</w:t>
      </w:r>
      <w:r w:rsidR="00533365" w:rsidRPr="006C42BE">
        <w:rPr>
          <w:rFonts w:ascii="Times New Roman" w:hAnsi="Times New Roman" w:cs="Times New Roman"/>
          <w:sz w:val="24"/>
          <w:szCs w:val="24"/>
        </w:rPr>
        <w:t xml:space="preserve">ender </w:t>
      </w:r>
      <w:r w:rsidRPr="006C42BE">
        <w:rPr>
          <w:rFonts w:ascii="Times New Roman" w:hAnsi="Times New Roman" w:cs="Times New Roman"/>
          <w:sz w:val="24"/>
          <w:szCs w:val="24"/>
        </w:rPr>
        <w:t>la “reparación”</w:t>
      </w:r>
      <w:r w:rsidR="00533365"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Pr="00A0399F">
        <w:rPr>
          <w:rFonts w:ascii="Times New Roman" w:hAnsi="Times New Roman" w:cs="Times New Roman"/>
          <w:sz w:val="24"/>
          <w:szCs w:val="24"/>
          <w:highlight w:val="yellow"/>
        </w:rPr>
        <w:t xml:space="preserve">El segundo movimiento </w:t>
      </w:r>
      <w:r w:rsidR="00533365" w:rsidRPr="00A0399F">
        <w:rPr>
          <w:rFonts w:ascii="Times New Roman" w:hAnsi="Times New Roman" w:cs="Times New Roman"/>
          <w:sz w:val="24"/>
          <w:szCs w:val="24"/>
          <w:highlight w:val="yellow"/>
        </w:rPr>
        <w:t xml:space="preserve">se abocó a </w:t>
      </w:r>
      <w:r w:rsidRPr="00A0399F">
        <w:rPr>
          <w:rFonts w:ascii="Times New Roman" w:hAnsi="Times New Roman" w:cs="Times New Roman"/>
          <w:sz w:val="24"/>
          <w:szCs w:val="24"/>
          <w:highlight w:val="yellow"/>
        </w:rPr>
        <w:t>reponer el comando estatal sobre los respectivos campos –</w:t>
      </w:r>
      <w:r w:rsidRPr="00A0399F">
        <w:rPr>
          <w:rFonts w:ascii="Times New Roman" w:hAnsi="Times New Roman" w:cs="Times New Roman"/>
          <w:i/>
          <w:sz w:val="24"/>
          <w:szCs w:val="24"/>
          <w:highlight w:val="yellow"/>
        </w:rPr>
        <w:t>dirigir y hacer sistema</w:t>
      </w:r>
      <w:r w:rsidR="00533365" w:rsidRPr="00A0399F">
        <w:rPr>
          <w:rFonts w:ascii="Times New Roman" w:hAnsi="Times New Roman" w:cs="Times New Roman"/>
          <w:i/>
          <w:sz w:val="24"/>
          <w:szCs w:val="24"/>
          <w:highlight w:val="yellow"/>
        </w:rPr>
        <w:t xml:space="preserve"> educativo y sanitario</w:t>
      </w:r>
      <w:r w:rsidRPr="00A0399F">
        <w:rPr>
          <w:rFonts w:ascii="Times New Roman" w:hAnsi="Times New Roman" w:cs="Times New Roman"/>
          <w:sz w:val="24"/>
          <w:szCs w:val="24"/>
          <w:highlight w:val="yellow"/>
        </w:rPr>
        <w:t>-, que h</w:t>
      </w:r>
      <w:r w:rsidR="00533365" w:rsidRPr="00A0399F">
        <w:rPr>
          <w:rFonts w:ascii="Times New Roman" w:hAnsi="Times New Roman" w:cs="Times New Roman"/>
          <w:sz w:val="24"/>
          <w:szCs w:val="24"/>
          <w:highlight w:val="yellow"/>
        </w:rPr>
        <w:t>abía sido activamente desmontado</w:t>
      </w:r>
      <w:r w:rsidRPr="00A0399F">
        <w:rPr>
          <w:rFonts w:ascii="Times New Roman" w:hAnsi="Times New Roman" w:cs="Times New Roman"/>
          <w:sz w:val="24"/>
          <w:szCs w:val="24"/>
          <w:highlight w:val="yellow"/>
        </w:rPr>
        <w:t xml:space="preserve"> durante el ciclo neoliberal.</w:t>
      </w:r>
      <w:r w:rsidRPr="006C42BE">
        <w:rPr>
          <w:rFonts w:ascii="Times New Roman" w:hAnsi="Times New Roman" w:cs="Times New Roman"/>
          <w:sz w:val="24"/>
          <w:szCs w:val="24"/>
        </w:rPr>
        <w:t xml:space="preserve"> </w:t>
      </w:r>
      <w:r w:rsidR="00E06C2A" w:rsidRPr="000022DE">
        <w:rPr>
          <w:rFonts w:ascii="Times New Roman" w:hAnsi="Times New Roman" w:cs="Times New Roman"/>
          <w:sz w:val="24"/>
          <w:szCs w:val="24"/>
        </w:rPr>
        <w:t xml:space="preserve">En esa línea se acumularon las estrategias de regulación directa e indirecta ya vistas. “Abrir el acceso” (a instituciones de la seguridad social, a niveles educativos superiores) fue uno de los instrumentos más efectivos, porque </w:t>
      </w:r>
      <w:commentRangeStart w:id="20"/>
      <w:r w:rsidR="00E06C2A" w:rsidRPr="000022DE">
        <w:rPr>
          <w:rFonts w:ascii="Times New Roman" w:hAnsi="Times New Roman" w:cs="Times New Roman"/>
          <w:sz w:val="24"/>
          <w:szCs w:val="24"/>
        </w:rPr>
        <w:t>labraron nuevos “bordes” entre subsectores</w:t>
      </w:r>
      <w:commentRangeEnd w:id="20"/>
      <w:r w:rsidR="00A0399F">
        <w:rPr>
          <w:rStyle w:val="Refdecomentario"/>
        </w:rPr>
        <w:commentReference w:id="20"/>
      </w:r>
      <w:r w:rsidR="00E06C2A" w:rsidRPr="000022DE">
        <w:rPr>
          <w:rFonts w:ascii="Times New Roman" w:hAnsi="Times New Roman" w:cs="Times New Roman"/>
          <w:sz w:val="24"/>
          <w:szCs w:val="24"/>
        </w:rPr>
        <w:t xml:space="preserve">. </w:t>
      </w:r>
      <w:commentRangeStart w:id="21"/>
      <w:r w:rsidR="00E06C2A" w:rsidRPr="000022DE">
        <w:rPr>
          <w:rFonts w:ascii="Times New Roman" w:hAnsi="Times New Roman" w:cs="Times New Roman"/>
          <w:sz w:val="24"/>
          <w:szCs w:val="24"/>
        </w:rPr>
        <w:t>Era esperable</w:t>
      </w:r>
      <w:r w:rsidR="0055052B" w:rsidRPr="000022D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que el gasto público subiera; </w:t>
      </w:r>
      <w:r w:rsidRPr="006C42BE">
        <w:rPr>
          <w:rFonts w:ascii="Times New Roman" w:hAnsi="Times New Roman" w:cs="Times New Roman"/>
          <w:sz w:val="24"/>
          <w:szCs w:val="24"/>
        </w:rPr>
        <w:t>y así sucedió: el gasto educativo nacional, que en 2000 equivalía al 0,94 % del PBI y en 2003 al 0,83 %, cerró el período en 1,67 % y en un gasto total de todas las jurisdicciones del 6,7 % del PBI. Una evolución similar experimentó el gasto nacional en salud: en 2000 era del 2,32 % del PBI y 4,84 % total, y en 2003 1,85 % y 4,02, respectivamente, y en 2015 alcanzó el 3,70 % el nivel nacional y 6,97 el consolidado de todas las jurisdicciones</w:t>
      </w:r>
      <w:commentRangeEnd w:id="21"/>
      <w:r w:rsidR="00A0399F">
        <w:rPr>
          <w:rStyle w:val="Refdecomentario"/>
        </w:rPr>
        <w:commentReference w:id="21"/>
      </w:r>
      <w:r w:rsidRPr="006C42BE">
        <w:rPr>
          <w:rStyle w:val="Refdenotaalpie"/>
          <w:rFonts w:ascii="Times New Roman" w:hAnsi="Times New Roman" w:cs="Times New Roman"/>
          <w:sz w:val="24"/>
          <w:szCs w:val="24"/>
        </w:rPr>
        <w:footnoteReference w:id="16"/>
      </w:r>
      <w:r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Pero los resultados fueron desiguales y estuvieron </w:t>
      </w:r>
      <w:r w:rsidR="00E06C2A">
        <w:rPr>
          <w:rFonts w:ascii="Times New Roman" w:hAnsi="Times New Roman" w:cs="Times New Roman"/>
          <w:sz w:val="24"/>
          <w:szCs w:val="24"/>
        </w:rPr>
        <w:t xml:space="preserve">lejos de </w:t>
      </w:r>
      <w:r w:rsidR="00E06C2A">
        <w:rPr>
          <w:rFonts w:ascii="Times New Roman" w:hAnsi="Times New Roman" w:cs="Times New Roman"/>
          <w:sz w:val="24"/>
          <w:szCs w:val="24"/>
        </w:rPr>
        <w:lastRenderedPageBreak/>
        <w:t>alcanzar</w:t>
      </w:r>
      <w:r w:rsidR="008F60B5" w:rsidRPr="006C42BE">
        <w:rPr>
          <w:rFonts w:ascii="Times New Roman" w:hAnsi="Times New Roman" w:cs="Times New Roman"/>
          <w:sz w:val="24"/>
          <w:szCs w:val="24"/>
        </w:rPr>
        <w:t xml:space="preserve"> los objetivos buscados</w:t>
      </w:r>
      <w:r w:rsidR="003F0792" w:rsidRPr="006C42BE">
        <w:rPr>
          <w:rFonts w:ascii="Times New Roman" w:hAnsi="Times New Roman" w:cs="Times New Roman"/>
          <w:sz w:val="24"/>
          <w:szCs w:val="24"/>
        </w:rPr>
        <w:t xml:space="preserve">, tanto en “la materialidad” de los servicios efectivos como en el reconocimiento </w:t>
      </w:r>
      <w:r w:rsidR="00132E2B" w:rsidRPr="006C42BE">
        <w:rPr>
          <w:rFonts w:ascii="Times New Roman" w:hAnsi="Times New Roman" w:cs="Times New Roman"/>
          <w:sz w:val="24"/>
          <w:szCs w:val="24"/>
        </w:rPr>
        <w:t xml:space="preserve">de ellos por parte de la población. </w:t>
      </w:r>
    </w:p>
    <w:p w14:paraId="6BBD77DF" w14:textId="77777777" w:rsidR="0055052B" w:rsidRPr="00D05105" w:rsidRDefault="0055052B" w:rsidP="001E4181">
      <w:pPr>
        <w:pStyle w:val="Prrafodelista"/>
        <w:spacing w:after="0" w:line="480" w:lineRule="auto"/>
        <w:ind w:left="0"/>
        <w:rPr>
          <w:rFonts w:ascii="Times New Roman" w:hAnsi="Times New Roman" w:cs="Times New Roman"/>
          <w:sz w:val="24"/>
          <w:szCs w:val="24"/>
        </w:rPr>
      </w:pPr>
      <w:r w:rsidRPr="00D05105">
        <w:rPr>
          <w:rFonts w:ascii="Times New Roman" w:hAnsi="Times New Roman" w:cs="Times New Roman"/>
          <w:sz w:val="24"/>
          <w:szCs w:val="24"/>
        </w:rPr>
        <w:t xml:space="preserve">Examinar la trayectoria del sector asistencial requiere dos miradas. Una es interjurisdiccional, </w:t>
      </w:r>
      <w:r>
        <w:rPr>
          <w:rFonts w:ascii="Times New Roman" w:hAnsi="Times New Roman" w:cs="Times New Roman"/>
          <w:sz w:val="24"/>
          <w:szCs w:val="24"/>
        </w:rPr>
        <w:t>y expone</w:t>
      </w:r>
      <w:r w:rsidRPr="00D05105">
        <w:rPr>
          <w:rFonts w:ascii="Times New Roman" w:hAnsi="Times New Roman" w:cs="Times New Roman"/>
          <w:sz w:val="24"/>
          <w:szCs w:val="24"/>
        </w:rPr>
        <w:t xml:space="preserve"> la estabilidad de la participación de las jurisdicciones y del destino: al</w:t>
      </w:r>
      <w:r>
        <w:rPr>
          <w:rFonts w:ascii="Times New Roman" w:hAnsi="Times New Roman" w:cs="Times New Roman"/>
          <w:sz w:val="24"/>
          <w:szCs w:val="24"/>
        </w:rPr>
        <w:t xml:space="preserve"> descontar</w:t>
      </w:r>
      <w:r w:rsidRPr="00D05105">
        <w:rPr>
          <w:rFonts w:ascii="Times New Roman" w:hAnsi="Times New Roman" w:cs="Times New Roman"/>
          <w:sz w:val="24"/>
          <w:szCs w:val="24"/>
        </w:rPr>
        <w:t xml:space="preserve"> detraer el gasto en PNC</w:t>
      </w:r>
      <w:r>
        <w:rPr>
          <w:rFonts w:ascii="Times New Roman" w:hAnsi="Times New Roman" w:cs="Times New Roman"/>
          <w:sz w:val="24"/>
          <w:szCs w:val="24"/>
        </w:rPr>
        <w:t xml:space="preserve"> –abrumadoramente mayoritario- se ve que</w:t>
      </w:r>
      <w:r w:rsidRPr="00D05105">
        <w:rPr>
          <w:rFonts w:ascii="Times New Roman" w:hAnsi="Times New Roman" w:cs="Times New Roman"/>
          <w:sz w:val="24"/>
          <w:szCs w:val="24"/>
        </w:rPr>
        <w:t xml:space="preserve"> aproximadamente un tercio del total </w:t>
      </w:r>
      <w:r>
        <w:rPr>
          <w:rFonts w:ascii="Times New Roman" w:hAnsi="Times New Roman" w:cs="Times New Roman"/>
          <w:sz w:val="24"/>
          <w:szCs w:val="24"/>
        </w:rPr>
        <w:t>es nacional</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con valores </w:t>
      </w:r>
      <w:r w:rsidRPr="00D05105">
        <w:rPr>
          <w:rFonts w:ascii="Times New Roman" w:hAnsi="Times New Roman" w:cs="Times New Roman"/>
          <w:sz w:val="24"/>
          <w:szCs w:val="24"/>
        </w:rPr>
        <w:t xml:space="preserve">mucho más bajos que cualquiera de los otros componentes (de hecho, </w:t>
      </w:r>
      <w:r>
        <w:rPr>
          <w:rFonts w:ascii="Times New Roman" w:hAnsi="Times New Roman" w:cs="Times New Roman"/>
          <w:sz w:val="24"/>
          <w:szCs w:val="24"/>
        </w:rPr>
        <w:t xml:space="preserve">al crearse </w:t>
      </w:r>
      <w:r w:rsidRPr="00D05105">
        <w:rPr>
          <w:rFonts w:ascii="Times New Roman" w:hAnsi="Times New Roman" w:cs="Times New Roman"/>
          <w:sz w:val="24"/>
          <w:szCs w:val="24"/>
        </w:rPr>
        <w:t>la AUH</w:t>
      </w:r>
      <w:r>
        <w:rPr>
          <w:rFonts w:ascii="Times New Roman" w:hAnsi="Times New Roman" w:cs="Times New Roman"/>
          <w:sz w:val="24"/>
          <w:szCs w:val="24"/>
        </w:rPr>
        <w:t>, 2009,</w:t>
      </w:r>
      <w:r w:rsidRPr="00D05105">
        <w:rPr>
          <w:rFonts w:ascii="Times New Roman" w:hAnsi="Times New Roman" w:cs="Times New Roman"/>
          <w:sz w:val="24"/>
          <w:szCs w:val="24"/>
        </w:rPr>
        <w:t xml:space="preserve"> se estabiliza </w:t>
      </w:r>
      <w:r>
        <w:rPr>
          <w:rFonts w:ascii="Times New Roman" w:hAnsi="Times New Roman" w:cs="Times New Roman"/>
          <w:sz w:val="24"/>
          <w:szCs w:val="24"/>
        </w:rPr>
        <w:t>alrededor</w:t>
      </w:r>
      <w:r w:rsidRPr="00D05105">
        <w:rPr>
          <w:rFonts w:ascii="Times New Roman" w:hAnsi="Times New Roman" w:cs="Times New Roman"/>
          <w:sz w:val="24"/>
          <w:szCs w:val="24"/>
        </w:rPr>
        <w:t xml:space="preserve"> del 0,6</w:t>
      </w:r>
      <w:r>
        <w:rPr>
          <w:rFonts w:ascii="Times New Roman" w:hAnsi="Times New Roman" w:cs="Times New Roman"/>
          <w:sz w:val="24"/>
          <w:szCs w:val="24"/>
        </w:rPr>
        <w:t>5</w:t>
      </w:r>
      <w:r w:rsidRPr="00D05105">
        <w:rPr>
          <w:rFonts w:ascii="Times New Roman" w:hAnsi="Times New Roman" w:cs="Times New Roman"/>
          <w:sz w:val="24"/>
          <w:szCs w:val="24"/>
        </w:rPr>
        <w:t xml:space="preserve"> % del PBI, casi sin modificaciones</w:t>
      </w:r>
      <w:r>
        <w:rPr>
          <w:rFonts w:ascii="Times New Roman" w:hAnsi="Times New Roman" w:cs="Times New Roman"/>
          <w:sz w:val="24"/>
          <w:szCs w:val="24"/>
        </w:rPr>
        <w:t xml:space="preserve"> </w:t>
      </w:r>
      <w:r>
        <w:rPr>
          <w:rStyle w:val="Refdenotaalpie"/>
          <w:rFonts w:ascii="Times New Roman" w:hAnsi="Times New Roman" w:cs="Times New Roman"/>
          <w:sz w:val="24"/>
          <w:szCs w:val="24"/>
        </w:rPr>
        <w:footnoteReference w:id="17"/>
      </w:r>
      <w:r w:rsidRPr="00D05105">
        <w:rPr>
          <w:rFonts w:ascii="Times New Roman" w:hAnsi="Times New Roman" w:cs="Times New Roman"/>
          <w:sz w:val="24"/>
          <w:szCs w:val="24"/>
        </w:rPr>
        <w:t xml:space="preserve">). En cambio, </w:t>
      </w:r>
      <w:r>
        <w:rPr>
          <w:rFonts w:ascii="Times New Roman" w:hAnsi="Times New Roman" w:cs="Times New Roman"/>
          <w:sz w:val="24"/>
          <w:szCs w:val="24"/>
        </w:rPr>
        <w:t>al mirar</w:t>
      </w:r>
      <w:r w:rsidRPr="00D05105">
        <w:rPr>
          <w:rFonts w:ascii="Times New Roman" w:hAnsi="Times New Roman" w:cs="Times New Roman"/>
          <w:sz w:val="24"/>
          <w:szCs w:val="24"/>
        </w:rPr>
        <w:t xml:space="preserve"> las orientaciones de las políticas, el sector</w:t>
      </w:r>
      <w:r>
        <w:rPr>
          <w:rFonts w:ascii="Times New Roman" w:hAnsi="Times New Roman" w:cs="Times New Roman"/>
          <w:sz w:val="24"/>
          <w:szCs w:val="24"/>
        </w:rPr>
        <w:t xml:space="preserve"> la asistencia </w:t>
      </w:r>
      <w:r w:rsidRPr="00D05105">
        <w:rPr>
          <w:rFonts w:ascii="Times New Roman" w:hAnsi="Times New Roman" w:cs="Times New Roman"/>
          <w:sz w:val="24"/>
          <w:szCs w:val="24"/>
        </w:rPr>
        <w:t xml:space="preserve">nacional exhibe quizás el mayor contraste entre los principios orientadores de la década de 1990 y el ciclo abierto </w:t>
      </w:r>
      <w:r>
        <w:rPr>
          <w:rFonts w:ascii="Times New Roman" w:hAnsi="Times New Roman" w:cs="Times New Roman"/>
          <w:sz w:val="24"/>
          <w:szCs w:val="24"/>
        </w:rPr>
        <w:t>desde</w:t>
      </w:r>
      <w:r w:rsidRPr="00D05105">
        <w:rPr>
          <w:rFonts w:ascii="Times New Roman" w:hAnsi="Times New Roman" w:cs="Times New Roman"/>
          <w:sz w:val="24"/>
          <w:szCs w:val="24"/>
        </w:rPr>
        <w:t xml:space="preserve"> la crisis. Nos referimos a que en todo momento su materia fue la controversia acerca del estatus de la asistencia y, por lo tanto, de la población “tocada” por ella. </w:t>
      </w:r>
      <w:r>
        <w:rPr>
          <w:rFonts w:ascii="Times New Roman" w:hAnsi="Times New Roman" w:cs="Times New Roman"/>
          <w:sz w:val="24"/>
          <w:szCs w:val="24"/>
        </w:rPr>
        <w:t>Se eliminaron cupos y techos</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se discutieron </w:t>
      </w:r>
      <w:r w:rsidRPr="00D05105">
        <w:rPr>
          <w:rFonts w:ascii="Times New Roman" w:hAnsi="Times New Roman" w:cs="Times New Roman"/>
          <w:sz w:val="24"/>
          <w:szCs w:val="24"/>
        </w:rPr>
        <w:t>las contraprestaciones y los controles en un área que buscaba nuevos fundamentos de intervención</w:t>
      </w:r>
      <w:r>
        <w:rPr>
          <w:rFonts w:ascii="Times New Roman" w:hAnsi="Times New Roman" w:cs="Times New Roman"/>
          <w:sz w:val="24"/>
          <w:szCs w:val="24"/>
        </w:rPr>
        <w:t xml:space="preserve"> e inventaba instrumentos de gestión</w:t>
      </w:r>
      <w:r w:rsidRPr="00D05105">
        <w:rPr>
          <w:rFonts w:ascii="Times New Roman" w:hAnsi="Times New Roman" w:cs="Times New Roman"/>
          <w:sz w:val="24"/>
          <w:szCs w:val="24"/>
        </w:rPr>
        <w:t xml:space="preserve"> mientras internalizaba el papel de las organizaciones sociales territoriales, protagonistas del conflicto social de las últimas décadas. </w:t>
      </w:r>
      <w:commentRangeStart w:id="22"/>
      <w:r>
        <w:rPr>
          <w:rFonts w:ascii="Times New Roman" w:hAnsi="Times New Roman" w:cs="Times New Roman"/>
          <w:sz w:val="24"/>
          <w:szCs w:val="24"/>
        </w:rPr>
        <w:t>Finalizando el</w:t>
      </w:r>
      <w:r w:rsidRPr="00D05105">
        <w:rPr>
          <w:rFonts w:ascii="Times New Roman" w:hAnsi="Times New Roman" w:cs="Times New Roman"/>
          <w:sz w:val="24"/>
          <w:szCs w:val="24"/>
        </w:rPr>
        <w:t xml:space="preserve"> período estudiado, sin embargo, ni unos (agentes de gestión) ni otras (las organizaciones) </w:t>
      </w:r>
      <w:r>
        <w:rPr>
          <w:rFonts w:ascii="Times New Roman" w:hAnsi="Times New Roman" w:cs="Times New Roman"/>
          <w:sz w:val="24"/>
          <w:szCs w:val="24"/>
        </w:rPr>
        <w:t>habían</w:t>
      </w:r>
      <w:r w:rsidRPr="00D05105">
        <w:rPr>
          <w:rFonts w:ascii="Times New Roman" w:hAnsi="Times New Roman" w:cs="Times New Roman"/>
          <w:sz w:val="24"/>
          <w:szCs w:val="24"/>
        </w:rPr>
        <w:t xml:space="preserve"> penetrado las condiciones de una sociabilidad fracturada por la exposición a la desigualdad y a la privación de tres generaciones.</w:t>
      </w:r>
      <w:commentRangeEnd w:id="22"/>
      <w:r w:rsidR="00233D62">
        <w:rPr>
          <w:rStyle w:val="Refdecomentario"/>
        </w:rPr>
        <w:commentReference w:id="22"/>
      </w:r>
    </w:p>
    <w:p w14:paraId="5EACA1DE" w14:textId="77777777" w:rsidR="005F6BB8" w:rsidRPr="006C42BE" w:rsidRDefault="005F6BB8" w:rsidP="001E4181">
      <w:pPr>
        <w:pStyle w:val="Prrafodelista"/>
        <w:spacing w:after="0" w:line="480" w:lineRule="auto"/>
        <w:ind w:left="0"/>
        <w:rPr>
          <w:rFonts w:ascii="Times New Roman" w:hAnsi="Times New Roman" w:cs="Times New Roman"/>
          <w:sz w:val="24"/>
          <w:szCs w:val="24"/>
        </w:rPr>
      </w:pPr>
    </w:p>
    <w:p w14:paraId="1FCAA53B" w14:textId="77777777"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lastRenderedPageBreak/>
        <w:t>En lo que hace a lo propiamente protectorio, la seguridad social es el sector más fortalecido a lo largo del período: sus distintos componentes prestan protección y servicios a una mayoría abrumadora de la población (muy por encima de la alcanzada por sus acciones al inicio del período). He aquí la mayor ruptura respecto de una historia del sector o de las políticas sociales en general: a la tradicional protección prestada al segmento formalizado y estable de los trabajadores, la seguridad social sumó la protección asociada a los nuevos mecanismos de incorporación institucional. Esa protección no es igualitaria, ni en lo previsional ni en la salud, los dos componentes en los que más se expandieron las modalidades no tradicionales. En ambos casos las desigualdades arrancan en la dispersión salarial (que creció entre 2002 y 2015), pero a esa desigualdad de ingresos se sumaron las derivadas de capacidades institucionales diferenciales y de las estrategias individuales, estructuralmente incorporadas por las reformas de los años 90s, en especial en el caso de salud/obras sociales.</w:t>
      </w:r>
    </w:p>
    <w:p w14:paraId="3C318B45" w14:textId="77777777" w:rsidR="005F6BB8" w:rsidRPr="006C42BE" w:rsidRDefault="005F6BB8" w:rsidP="001E4181">
      <w:pPr>
        <w:pStyle w:val="Prrafodelista"/>
        <w:spacing w:after="0" w:line="480" w:lineRule="auto"/>
        <w:ind w:left="0"/>
        <w:rPr>
          <w:rFonts w:ascii="Times New Roman" w:hAnsi="Times New Roman" w:cs="Times New Roman"/>
          <w:sz w:val="24"/>
          <w:szCs w:val="24"/>
        </w:rPr>
      </w:pPr>
    </w:p>
    <w:p w14:paraId="53B8B0CE" w14:textId="77777777" w:rsidR="005F6BB8" w:rsidRPr="006C42BE" w:rsidRDefault="005F6BB8" w:rsidP="001E4181">
      <w:pPr>
        <w:pStyle w:val="Prrafodelista"/>
        <w:spacing w:after="0" w:line="480" w:lineRule="auto"/>
        <w:ind w:left="0"/>
        <w:rPr>
          <w:rFonts w:ascii="Times New Roman" w:hAnsi="Times New Roman" w:cs="Times New Roman"/>
          <w:sz w:val="24"/>
          <w:szCs w:val="24"/>
        </w:rPr>
      </w:pPr>
      <w:r w:rsidRPr="00233D62">
        <w:rPr>
          <w:rFonts w:ascii="Times New Roman" w:hAnsi="Times New Roman" w:cs="Times New Roman"/>
          <w:sz w:val="24"/>
          <w:szCs w:val="24"/>
          <w:highlight w:val="yellow"/>
        </w:rPr>
        <w:t>Dijimos que las reformas del período no conmovieron la estructura histórica de la protección social; y lo ratificamos. P</w:t>
      </w:r>
      <w:r w:rsidRPr="00233D62">
        <w:rPr>
          <w:rFonts w:ascii="Times New Roman" w:hAnsi="Times New Roman" w:cs="Times New Roman"/>
          <w:i/>
          <w:sz w:val="24"/>
          <w:szCs w:val="24"/>
          <w:highlight w:val="yellow"/>
        </w:rPr>
        <w:t>ero agregamos que sí desafiaron su funcionamiento</w:t>
      </w:r>
      <w:r w:rsidRPr="00233D62">
        <w:rPr>
          <w:rFonts w:ascii="Times New Roman" w:hAnsi="Times New Roman" w:cs="Times New Roman"/>
          <w:sz w:val="24"/>
          <w:szCs w:val="24"/>
          <w:highlight w:val="yellow"/>
        </w:rPr>
        <w:t xml:space="preserve">, porque  aquella estrategia de habilitar el acceso a instituciones de la seguridad social a través del pago subsidiado, </w:t>
      </w:r>
      <w:r w:rsidRPr="00233D62">
        <w:rPr>
          <w:rFonts w:ascii="Times New Roman" w:hAnsi="Times New Roman" w:cs="Times New Roman"/>
          <w:i/>
          <w:sz w:val="24"/>
          <w:szCs w:val="24"/>
          <w:highlight w:val="yellow"/>
        </w:rPr>
        <w:t>trajo al campo de las políticas de protección y bienestar el desafío de la sociabilidad.</w:t>
      </w:r>
      <w:r w:rsidRPr="006C42BE">
        <w:rPr>
          <w:rFonts w:ascii="Times New Roman" w:hAnsi="Times New Roman" w:cs="Times New Roman"/>
          <w:sz w:val="24"/>
          <w:szCs w:val="24"/>
        </w:rPr>
        <w:t xml:space="preserve"> </w:t>
      </w:r>
    </w:p>
    <w:p w14:paraId="6F63A766" w14:textId="77777777" w:rsidR="005F6BB8" w:rsidRPr="006C42BE" w:rsidRDefault="005F6BB8" w:rsidP="001E4181">
      <w:pPr>
        <w:pStyle w:val="Prrafodelista"/>
        <w:spacing w:after="0" w:line="480" w:lineRule="auto"/>
        <w:ind w:left="0"/>
        <w:rPr>
          <w:rFonts w:ascii="Times New Roman" w:hAnsi="Times New Roman" w:cs="Times New Roman"/>
          <w:sz w:val="24"/>
          <w:szCs w:val="24"/>
        </w:rPr>
      </w:pPr>
    </w:p>
    <w:p w14:paraId="5D19E8B7" w14:textId="77777777" w:rsidR="00F81417" w:rsidRPr="006C42BE" w:rsidRDefault="00F81417"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Podemos decirlo con menos dramatismo: </w:t>
      </w:r>
      <w:r w:rsidR="005F6BB8"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sector educativo casi ininterrumpid</w:t>
      </w:r>
      <w:r w:rsidR="005F6BB8" w:rsidRPr="006C42BE">
        <w:rPr>
          <w:rFonts w:ascii="Times New Roman" w:hAnsi="Times New Roman" w:cs="Times New Roman"/>
          <w:sz w:val="24"/>
          <w:szCs w:val="24"/>
        </w:rPr>
        <w:t>amente</w:t>
      </w:r>
      <w:r w:rsidRPr="006C42BE">
        <w:rPr>
          <w:rFonts w:ascii="Times New Roman" w:hAnsi="Times New Roman" w:cs="Times New Roman"/>
          <w:sz w:val="24"/>
          <w:szCs w:val="24"/>
        </w:rPr>
        <w:t xml:space="preserve"> crec</w:t>
      </w:r>
      <w:r w:rsidR="005F6BB8" w:rsidRPr="006C42BE">
        <w:rPr>
          <w:rFonts w:ascii="Times New Roman" w:hAnsi="Times New Roman" w:cs="Times New Roman"/>
          <w:sz w:val="24"/>
          <w:szCs w:val="24"/>
        </w:rPr>
        <w:t>e</w:t>
      </w:r>
      <w:r w:rsidRPr="006C42BE">
        <w:rPr>
          <w:rFonts w:ascii="Times New Roman" w:hAnsi="Times New Roman" w:cs="Times New Roman"/>
          <w:sz w:val="24"/>
          <w:szCs w:val="24"/>
        </w:rPr>
        <w:t xml:space="preserve"> la matrícula escolar privada desde la segunda mitad del siglo XX. Y aunque con oscilaciones, </w:t>
      </w:r>
      <w:r w:rsidR="00815D3B" w:rsidRPr="006C42BE">
        <w:rPr>
          <w:rFonts w:ascii="Times New Roman" w:hAnsi="Times New Roman" w:cs="Times New Roman"/>
          <w:sz w:val="24"/>
          <w:szCs w:val="24"/>
        </w:rPr>
        <w:t xml:space="preserve">en salud </w:t>
      </w:r>
      <w:r w:rsidRPr="006C42BE">
        <w:rPr>
          <w:rFonts w:ascii="Times New Roman" w:hAnsi="Times New Roman" w:cs="Times New Roman"/>
          <w:sz w:val="24"/>
          <w:szCs w:val="24"/>
        </w:rPr>
        <w:t>también la presencia de contrataciones con entidades de medicina prepaga en hogares con cobertura del seguro social vino trepando de continu</w:t>
      </w:r>
      <w:r w:rsidR="005F6BB8" w:rsidRPr="006C42BE">
        <w:rPr>
          <w:rFonts w:ascii="Times New Roman" w:hAnsi="Times New Roman" w:cs="Times New Roman"/>
          <w:sz w:val="24"/>
          <w:szCs w:val="24"/>
        </w:rPr>
        <w:t>o</w:t>
      </w:r>
      <w:r w:rsidRPr="006C42BE">
        <w:rPr>
          <w:rFonts w:ascii="Times New Roman" w:hAnsi="Times New Roman" w:cs="Times New Roman"/>
          <w:sz w:val="24"/>
          <w:szCs w:val="24"/>
        </w:rPr>
        <w:t xml:space="preserve"> (entidades sindicales que hacen convenios, </w:t>
      </w:r>
      <w:r w:rsidR="005F6BB8" w:rsidRPr="006C42BE">
        <w:rPr>
          <w:rFonts w:ascii="Times New Roman" w:hAnsi="Times New Roman" w:cs="Times New Roman"/>
          <w:sz w:val="24"/>
          <w:szCs w:val="24"/>
        </w:rPr>
        <w:t>una</w:t>
      </w:r>
      <w:r w:rsidRPr="006C42BE">
        <w:rPr>
          <w:rFonts w:ascii="Times New Roman" w:hAnsi="Times New Roman" w:cs="Times New Roman"/>
          <w:sz w:val="24"/>
          <w:szCs w:val="24"/>
        </w:rPr>
        <w:t xml:space="preserve"> combinación que ya en el </w:t>
      </w:r>
      <w:r w:rsidRPr="006C42BE">
        <w:rPr>
          <w:rFonts w:ascii="Times New Roman" w:hAnsi="Times New Roman" w:cs="Times New Roman"/>
          <w:sz w:val="24"/>
          <w:szCs w:val="24"/>
        </w:rPr>
        <w:lastRenderedPageBreak/>
        <w:t xml:space="preserve">censo de 2010 superaba los diez puntos porcentuales). Siguiendo con salud, puede decirse que en el período </w:t>
      </w:r>
      <w:commentRangeStart w:id="23"/>
      <w:r w:rsidRPr="006C42BE">
        <w:rPr>
          <w:rFonts w:ascii="Times New Roman" w:hAnsi="Times New Roman" w:cs="Times New Roman"/>
          <w:sz w:val="24"/>
          <w:szCs w:val="24"/>
        </w:rPr>
        <w:t xml:space="preserve">la mejora en los ingresos de los hogares </w:t>
      </w:r>
      <w:r w:rsidR="005F6BB8" w:rsidRPr="006C42BE">
        <w:rPr>
          <w:rFonts w:ascii="Times New Roman" w:hAnsi="Times New Roman" w:cs="Times New Roman"/>
          <w:sz w:val="24"/>
          <w:szCs w:val="24"/>
        </w:rPr>
        <w:t xml:space="preserve">–también en los quintiles más bajos- </w:t>
      </w:r>
      <w:r w:rsidRPr="006C42BE">
        <w:rPr>
          <w:rFonts w:ascii="Times New Roman" w:hAnsi="Times New Roman" w:cs="Times New Roman"/>
          <w:sz w:val="24"/>
          <w:szCs w:val="24"/>
        </w:rPr>
        <w:t xml:space="preserve">parece haber alimentado la utilización de servicios privados. </w:t>
      </w:r>
      <w:r w:rsidR="001D4015" w:rsidRPr="006C42BE">
        <w:rPr>
          <w:rFonts w:ascii="Times New Roman" w:hAnsi="Times New Roman" w:cs="Times New Roman"/>
          <w:sz w:val="24"/>
          <w:szCs w:val="24"/>
        </w:rPr>
        <w:t>E</w:t>
      </w:r>
      <w:r w:rsidR="00F42290" w:rsidRPr="006C42BE">
        <w:rPr>
          <w:rFonts w:ascii="Times New Roman" w:hAnsi="Times New Roman" w:cs="Times New Roman"/>
          <w:sz w:val="24"/>
          <w:szCs w:val="24"/>
        </w:rPr>
        <w:t xml:space="preserve">llo habla de un cuadro aspiracional </w:t>
      </w:r>
      <w:r w:rsidR="001D4015" w:rsidRPr="006C42BE">
        <w:rPr>
          <w:rFonts w:ascii="Times New Roman" w:hAnsi="Times New Roman" w:cs="Times New Roman"/>
          <w:sz w:val="24"/>
          <w:szCs w:val="24"/>
        </w:rPr>
        <w:t>de distanciamiento de “lo público</w:t>
      </w:r>
      <w:commentRangeEnd w:id="23"/>
      <w:r w:rsidR="00233D62">
        <w:rPr>
          <w:rStyle w:val="Refdecomentario"/>
        </w:rPr>
        <w:commentReference w:id="23"/>
      </w:r>
      <w:r w:rsidR="001D4015" w:rsidRPr="006C42BE">
        <w:rPr>
          <w:rFonts w:ascii="Times New Roman" w:hAnsi="Times New Roman" w:cs="Times New Roman"/>
          <w:sz w:val="24"/>
          <w:szCs w:val="24"/>
        </w:rPr>
        <w:t>”.</w:t>
      </w:r>
      <w:r w:rsidR="00815D3B" w:rsidRPr="006C42BE">
        <w:rPr>
          <w:rFonts w:ascii="Times New Roman" w:hAnsi="Times New Roman" w:cs="Times New Roman"/>
          <w:sz w:val="24"/>
          <w:szCs w:val="24"/>
        </w:rPr>
        <w:t xml:space="preserve"> Volveremos a ello.</w:t>
      </w:r>
    </w:p>
    <w:p w14:paraId="4601ADA4" w14:textId="77777777" w:rsidR="00F42290" w:rsidRPr="006C42BE" w:rsidRDefault="00F42290"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Es cierto que procesos de este tipo no son nuevas en </w:t>
      </w:r>
      <w:r w:rsidR="00F81417" w:rsidRPr="006C42BE">
        <w:rPr>
          <w:rFonts w:ascii="Times New Roman" w:hAnsi="Times New Roman" w:cs="Times New Roman"/>
          <w:sz w:val="24"/>
          <w:szCs w:val="24"/>
        </w:rPr>
        <w:t>las preocupaciones de especialistas y funcionarios</w:t>
      </w:r>
      <w:r w:rsidR="00815D3B" w:rsidRPr="006C42BE">
        <w:rPr>
          <w:rFonts w:ascii="Times New Roman" w:hAnsi="Times New Roman" w:cs="Times New Roman"/>
          <w:sz w:val="24"/>
          <w:szCs w:val="24"/>
        </w:rPr>
        <w:t xml:space="preserve"> (Kessler, 2014), pues </w:t>
      </w:r>
      <w:r w:rsidR="00F81417" w:rsidRPr="006C42BE">
        <w:rPr>
          <w:rFonts w:ascii="Times New Roman" w:hAnsi="Times New Roman" w:cs="Times New Roman"/>
          <w:sz w:val="24"/>
          <w:szCs w:val="24"/>
        </w:rPr>
        <w:t>está</w:t>
      </w:r>
      <w:r w:rsidRPr="006C42BE">
        <w:rPr>
          <w:rFonts w:ascii="Times New Roman" w:hAnsi="Times New Roman" w:cs="Times New Roman"/>
          <w:sz w:val="24"/>
          <w:szCs w:val="24"/>
        </w:rPr>
        <w:t>n</w:t>
      </w:r>
      <w:r w:rsidR="00F81417" w:rsidRPr="006C42BE">
        <w:rPr>
          <w:rFonts w:ascii="Times New Roman" w:hAnsi="Times New Roman" w:cs="Times New Roman"/>
          <w:sz w:val="24"/>
          <w:szCs w:val="24"/>
        </w:rPr>
        <w:t xml:space="preserve"> en la base de los efectos de “segmentación” social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En consecuencia, sólo tiene sentido </w:t>
      </w:r>
      <w:r w:rsidR="00815D3B" w:rsidRPr="006C42BE">
        <w:rPr>
          <w:rFonts w:ascii="Times New Roman" w:hAnsi="Times New Roman" w:cs="Times New Roman"/>
          <w:sz w:val="24"/>
          <w:szCs w:val="24"/>
        </w:rPr>
        <w:t>reponerlos</w:t>
      </w:r>
      <w:r w:rsidRPr="006C42BE">
        <w:rPr>
          <w:rFonts w:ascii="Times New Roman" w:hAnsi="Times New Roman" w:cs="Times New Roman"/>
          <w:sz w:val="24"/>
          <w:szCs w:val="24"/>
        </w:rPr>
        <w:t xml:space="preserve"> como materia de reflexión </w:t>
      </w:r>
      <w:r w:rsidR="00815D3B" w:rsidRPr="006C42BE">
        <w:rPr>
          <w:rFonts w:ascii="Times New Roman" w:hAnsi="Times New Roman" w:cs="Times New Roman"/>
          <w:sz w:val="24"/>
          <w:szCs w:val="24"/>
        </w:rPr>
        <w:t>si</w:t>
      </w:r>
      <w:r w:rsidRPr="006C42BE">
        <w:rPr>
          <w:rFonts w:ascii="Times New Roman" w:hAnsi="Times New Roman" w:cs="Times New Roman"/>
          <w:sz w:val="24"/>
          <w:szCs w:val="24"/>
        </w:rPr>
        <w:t xml:space="preserve"> dese</w:t>
      </w:r>
      <w:r w:rsidR="001D4015" w:rsidRPr="006C42BE">
        <w:rPr>
          <w:rFonts w:ascii="Times New Roman" w:hAnsi="Times New Roman" w:cs="Times New Roman"/>
          <w:sz w:val="24"/>
          <w:szCs w:val="24"/>
        </w:rPr>
        <w:t>ntraña</w:t>
      </w:r>
      <w:r w:rsidR="00815D3B" w:rsidRPr="006C42BE">
        <w:rPr>
          <w:rFonts w:ascii="Times New Roman" w:hAnsi="Times New Roman" w:cs="Times New Roman"/>
          <w:sz w:val="24"/>
          <w:szCs w:val="24"/>
        </w:rPr>
        <w:t>mos</w:t>
      </w:r>
      <w:r w:rsidR="001D4015" w:rsidRPr="006C42BE">
        <w:rPr>
          <w:rFonts w:ascii="Times New Roman" w:hAnsi="Times New Roman" w:cs="Times New Roman"/>
          <w:sz w:val="24"/>
          <w:szCs w:val="24"/>
        </w:rPr>
        <w:t xml:space="preserve"> </w:t>
      </w:r>
      <w:r w:rsidR="00D41FE4" w:rsidRPr="006C42BE">
        <w:rPr>
          <w:rFonts w:ascii="Times New Roman" w:hAnsi="Times New Roman" w:cs="Times New Roman"/>
          <w:sz w:val="24"/>
          <w:szCs w:val="24"/>
        </w:rPr>
        <w:t>lecciones significativa</w:t>
      </w:r>
      <w:r w:rsidR="001D4015" w:rsidRPr="006C42BE">
        <w:rPr>
          <w:rFonts w:ascii="Times New Roman" w:hAnsi="Times New Roman" w:cs="Times New Roman"/>
          <w:sz w:val="24"/>
          <w:szCs w:val="24"/>
        </w:rPr>
        <w:t xml:space="preserve">s respecto de un ciclo </w:t>
      </w:r>
      <w:r w:rsidRPr="006C42BE">
        <w:rPr>
          <w:rFonts w:ascii="Times New Roman" w:hAnsi="Times New Roman" w:cs="Times New Roman"/>
          <w:sz w:val="24"/>
          <w:szCs w:val="24"/>
        </w:rPr>
        <w:t xml:space="preserve">de políticas que pretendieron recomponer </w:t>
      </w:r>
      <w:r w:rsidR="001D4015" w:rsidRPr="006C42BE">
        <w:rPr>
          <w:rFonts w:ascii="Times New Roman" w:hAnsi="Times New Roman" w:cs="Times New Roman"/>
          <w:sz w:val="24"/>
          <w:szCs w:val="24"/>
        </w:rPr>
        <w:t xml:space="preserve">aquella </w:t>
      </w:r>
      <w:r w:rsidRPr="006C42BE">
        <w:rPr>
          <w:rFonts w:ascii="Times New Roman" w:hAnsi="Times New Roman" w:cs="Times New Roman"/>
          <w:sz w:val="24"/>
          <w:szCs w:val="24"/>
        </w:rPr>
        <w:t xml:space="preserve">institucionalidad pública. </w:t>
      </w:r>
    </w:p>
    <w:p w14:paraId="496F3B67" w14:textId="77777777" w:rsidR="00F81417" w:rsidRPr="006C42BE" w:rsidRDefault="00F81417" w:rsidP="001E4181">
      <w:pPr>
        <w:pStyle w:val="Prrafodelista"/>
        <w:spacing w:after="0" w:line="480" w:lineRule="auto"/>
        <w:ind w:left="0"/>
        <w:rPr>
          <w:rFonts w:ascii="Times New Roman" w:hAnsi="Times New Roman" w:cs="Times New Roman"/>
          <w:b/>
          <w:sz w:val="24"/>
          <w:szCs w:val="24"/>
        </w:rPr>
      </w:pPr>
      <w:r w:rsidRPr="006C42BE">
        <w:rPr>
          <w:rFonts w:ascii="Times New Roman" w:hAnsi="Times New Roman" w:cs="Times New Roman"/>
          <w:b/>
          <w:sz w:val="24"/>
          <w:szCs w:val="24"/>
        </w:rPr>
        <w:t>CONCLUSIONES: ENSEÑANZAS POSIBLES</w:t>
      </w:r>
    </w:p>
    <w:p w14:paraId="4B46BB8E" w14:textId="77777777"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En el análisis que aquí presentamos pretendimos enlazar la configuración institucional y la materialidad de los instrumentos desplegados en distintos sectores de políticas de bienestar y protección, por un lado; </w:t>
      </w:r>
      <w:r w:rsidRPr="00903A75">
        <w:rPr>
          <w:rFonts w:ascii="Times New Roman" w:hAnsi="Times New Roman" w:cs="Times New Roman"/>
          <w:sz w:val="24"/>
          <w:szCs w:val="24"/>
          <w:highlight w:val="yellow"/>
        </w:rPr>
        <w:t>y los significados y expectativas que se gestan alrededor de ellas</w:t>
      </w:r>
      <w:r w:rsidRPr="006C42BE">
        <w:rPr>
          <w:rFonts w:ascii="Times New Roman" w:hAnsi="Times New Roman" w:cs="Times New Roman"/>
          <w:sz w:val="24"/>
          <w:szCs w:val="24"/>
        </w:rPr>
        <w:t xml:space="preserve">, atentamente mirados como </w:t>
      </w:r>
      <w:r w:rsidRPr="006C42BE">
        <w:rPr>
          <w:rFonts w:ascii="Times New Roman" w:hAnsi="Times New Roman" w:cs="Times New Roman"/>
          <w:i/>
          <w:sz w:val="24"/>
          <w:szCs w:val="24"/>
        </w:rPr>
        <w:t xml:space="preserve">procesos de la sociedad, </w:t>
      </w:r>
      <w:r w:rsidRPr="006C42BE">
        <w:rPr>
          <w:rFonts w:ascii="Times New Roman" w:hAnsi="Times New Roman" w:cs="Times New Roman"/>
          <w:sz w:val="24"/>
          <w:szCs w:val="24"/>
        </w:rPr>
        <w:t xml:space="preserve">por otro. </w:t>
      </w:r>
    </w:p>
    <w:p w14:paraId="739607F5" w14:textId="77777777"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Este análisis no presenta balances; antes bien, pretende </w:t>
      </w:r>
      <w:r w:rsidR="00D41FE4" w:rsidRPr="006C42BE">
        <w:rPr>
          <w:rFonts w:ascii="Times New Roman" w:hAnsi="Times New Roman" w:cs="Times New Roman"/>
          <w:sz w:val="24"/>
          <w:szCs w:val="24"/>
        </w:rPr>
        <w:t>ilusionarse con alguno</w:t>
      </w:r>
      <w:r w:rsidRPr="006C42BE">
        <w:rPr>
          <w:rFonts w:ascii="Times New Roman" w:hAnsi="Times New Roman" w:cs="Times New Roman"/>
          <w:sz w:val="24"/>
          <w:szCs w:val="24"/>
        </w:rPr>
        <w:t xml:space="preserve">s </w:t>
      </w:r>
      <w:r w:rsidR="00D41FE4" w:rsidRPr="006C42BE">
        <w:rPr>
          <w:rFonts w:ascii="Times New Roman" w:hAnsi="Times New Roman" w:cs="Times New Roman"/>
          <w:sz w:val="24"/>
          <w:szCs w:val="24"/>
        </w:rPr>
        <w:t>aprendizajes</w:t>
      </w:r>
      <w:r w:rsidRPr="006C42BE">
        <w:rPr>
          <w:rFonts w:ascii="Times New Roman" w:hAnsi="Times New Roman" w:cs="Times New Roman"/>
          <w:sz w:val="24"/>
          <w:szCs w:val="24"/>
        </w:rPr>
        <w:t>:</w:t>
      </w:r>
    </w:p>
    <w:p w14:paraId="5DBC25E2" w14:textId="77777777"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1.</w:t>
      </w:r>
      <w:r w:rsidR="00A44E84" w:rsidRPr="006C42BE">
        <w:rPr>
          <w:rFonts w:ascii="Times New Roman" w:hAnsi="Times New Roman" w:cs="Times New Roman"/>
          <w:sz w:val="24"/>
          <w:szCs w:val="24"/>
        </w:rPr>
        <w:t xml:space="preserve"> </w:t>
      </w:r>
      <w:r w:rsidR="00A42519" w:rsidRPr="006C42BE">
        <w:rPr>
          <w:rFonts w:ascii="Times New Roman" w:hAnsi="Times New Roman" w:cs="Times New Roman"/>
          <w:sz w:val="24"/>
          <w:szCs w:val="24"/>
        </w:rPr>
        <w:t>Desde el inicio</w:t>
      </w:r>
      <w:r w:rsidR="00A44E84" w:rsidRPr="006C42BE">
        <w:rPr>
          <w:rFonts w:ascii="Times New Roman" w:hAnsi="Times New Roman" w:cs="Times New Roman"/>
          <w:sz w:val="24"/>
          <w:szCs w:val="24"/>
        </w:rPr>
        <w:t xml:space="preserve"> señalamos que todos los sectores se plantearon </w:t>
      </w:r>
      <w:r w:rsidR="00A44E84" w:rsidRPr="00903A75">
        <w:rPr>
          <w:rFonts w:ascii="Times New Roman" w:hAnsi="Times New Roman" w:cs="Times New Roman"/>
          <w:sz w:val="24"/>
          <w:szCs w:val="24"/>
          <w:highlight w:val="yellow"/>
        </w:rPr>
        <w:t>objetivos de transformación institucional, que efectivamente fueron emprendidos. No obstante, los resultados fueron muy disímiles.</w:t>
      </w:r>
      <w:r w:rsidR="00A44E84" w:rsidRPr="006C42BE">
        <w:rPr>
          <w:rFonts w:ascii="Times New Roman" w:hAnsi="Times New Roman" w:cs="Times New Roman"/>
          <w:sz w:val="24"/>
          <w:szCs w:val="24"/>
        </w:rPr>
        <w:t xml:space="preserve"> Desde el punto de vista del funcionamiento institucional, </w:t>
      </w:r>
      <w:r w:rsidR="00A44E84" w:rsidRPr="00903A75">
        <w:rPr>
          <w:rFonts w:ascii="Times New Roman" w:hAnsi="Times New Roman" w:cs="Times New Roman"/>
          <w:sz w:val="24"/>
          <w:szCs w:val="24"/>
          <w:highlight w:val="yellow"/>
        </w:rPr>
        <w:t xml:space="preserve">la Seguridad Social parece recoger la mejor evaluación (en el desempeño de ANSES). </w:t>
      </w:r>
      <w:r w:rsidRPr="00903A75">
        <w:rPr>
          <w:rFonts w:ascii="Times New Roman" w:hAnsi="Times New Roman" w:cs="Times New Roman"/>
          <w:sz w:val="24"/>
          <w:szCs w:val="24"/>
          <w:highlight w:val="yellow"/>
        </w:rPr>
        <w:t>Como contrapartida, y</w:t>
      </w:r>
      <w:r w:rsidR="00A44E84" w:rsidRPr="00903A75">
        <w:rPr>
          <w:rFonts w:ascii="Times New Roman" w:hAnsi="Times New Roman" w:cs="Times New Roman"/>
          <w:sz w:val="24"/>
          <w:szCs w:val="24"/>
          <w:highlight w:val="yellow"/>
        </w:rPr>
        <w:t xml:space="preserve"> pese a la inversión realizada, los de salud y educación exhiben </w:t>
      </w:r>
      <w:r w:rsidRPr="00903A75">
        <w:rPr>
          <w:rFonts w:ascii="Times New Roman" w:hAnsi="Times New Roman" w:cs="Times New Roman"/>
          <w:sz w:val="24"/>
          <w:szCs w:val="24"/>
          <w:highlight w:val="yellow"/>
        </w:rPr>
        <w:t xml:space="preserve">la mayor </w:t>
      </w:r>
      <w:r w:rsidR="00A44E84" w:rsidRPr="00903A75">
        <w:rPr>
          <w:rFonts w:ascii="Times New Roman" w:hAnsi="Times New Roman" w:cs="Times New Roman"/>
          <w:sz w:val="24"/>
          <w:szCs w:val="24"/>
          <w:highlight w:val="yellow"/>
        </w:rPr>
        <w:t>“fuga” de población.</w:t>
      </w:r>
      <w:r w:rsidR="00A44E84" w:rsidRPr="006C42BE">
        <w:rPr>
          <w:rFonts w:ascii="Times New Roman" w:hAnsi="Times New Roman" w:cs="Times New Roman"/>
          <w:sz w:val="24"/>
          <w:szCs w:val="24"/>
        </w:rPr>
        <w:t xml:space="preserve"> </w:t>
      </w:r>
      <w:r w:rsidR="009064BD">
        <w:rPr>
          <w:rFonts w:ascii="Times New Roman" w:hAnsi="Times New Roman" w:cs="Times New Roman"/>
          <w:sz w:val="24"/>
          <w:szCs w:val="24"/>
        </w:rPr>
        <w:t xml:space="preserve">Sin reducir la complejidad del asunto, a </w:t>
      </w:r>
      <w:r w:rsidR="008E7866" w:rsidRPr="006C42BE">
        <w:rPr>
          <w:rFonts w:ascii="Times New Roman" w:hAnsi="Times New Roman" w:cs="Times New Roman"/>
          <w:sz w:val="24"/>
          <w:szCs w:val="24"/>
        </w:rPr>
        <w:t xml:space="preserve">nuestro juicio queda claro que en </w:t>
      </w:r>
      <w:commentRangeStart w:id="24"/>
      <w:r w:rsidR="008E7866" w:rsidRPr="006C42BE">
        <w:rPr>
          <w:rFonts w:ascii="Times New Roman" w:hAnsi="Times New Roman" w:cs="Times New Roman"/>
          <w:sz w:val="24"/>
          <w:szCs w:val="24"/>
        </w:rPr>
        <w:t xml:space="preserve">los sectores prestadores de </w:t>
      </w:r>
      <w:r w:rsidRPr="006C42BE">
        <w:rPr>
          <w:rFonts w:ascii="Times New Roman" w:hAnsi="Times New Roman" w:cs="Times New Roman"/>
          <w:sz w:val="24"/>
          <w:szCs w:val="24"/>
        </w:rPr>
        <w:t xml:space="preserve">servicios </w:t>
      </w:r>
      <w:r w:rsidR="00D41FE4" w:rsidRPr="006C42BE">
        <w:rPr>
          <w:rFonts w:ascii="Times New Roman" w:hAnsi="Times New Roman" w:cs="Times New Roman"/>
          <w:sz w:val="24"/>
          <w:szCs w:val="24"/>
        </w:rPr>
        <w:t>dependen de</w:t>
      </w:r>
      <w:r w:rsidR="008E7866"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una </w:t>
      </w:r>
      <w:r w:rsidR="008E7866" w:rsidRPr="006C42BE">
        <w:rPr>
          <w:rFonts w:ascii="Times New Roman" w:hAnsi="Times New Roman" w:cs="Times New Roman"/>
          <w:sz w:val="24"/>
          <w:szCs w:val="24"/>
        </w:rPr>
        <w:t>infraestructura</w:t>
      </w:r>
      <w:r w:rsidRPr="006C42BE">
        <w:rPr>
          <w:rFonts w:ascii="Times New Roman" w:hAnsi="Times New Roman" w:cs="Times New Roman"/>
          <w:sz w:val="24"/>
          <w:szCs w:val="24"/>
        </w:rPr>
        <w:t xml:space="preserve"> que requiere inversiones y un funcionamiento continuado, con personal y a lo largo del tiempo, que las prestaciones de transferencias de ingresos no </w:t>
      </w:r>
      <w:r w:rsidRPr="006C42BE">
        <w:rPr>
          <w:rFonts w:ascii="Times New Roman" w:hAnsi="Times New Roman" w:cs="Times New Roman"/>
          <w:sz w:val="24"/>
          <w:szCs w:val="24"/>
        </w:rPr>
        <w:lastRenderedPageBreak/>
        <w:t>requieren. Esto no menosprecia el funcionamiento ajustado de estas últimas; sólo pretende descifrar el camino a trazar para aquellos</w:t>
      </w:r>
      <w:commentRangeEnd w:id="24"/>
      <w:r w:rsidR="00903A75">
        <w:rPr>
          <w:rStyle w:val="Refdecomentario"/>
        </w:rPr>
        <w:commentReference w:id="24"/>
      </w:r>
      <w:r w:rsidRPr="006C42BE">
        <w:rPr>
          <w:rFonts w:ascii="Times New Roman" w:hAnsi="Times New Roman" w:cs="Times New Roman"/>
          <w:sz w:val="24"/>
          <w:szCs w:val="24"/>
        </w:rPr>
        <w:t>.</w:t>
      </w:r>
    </w:p>
    <w:p w14:paraId="16062DE4" w14:textId="77777777"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2. Aún cuando la inversión fue importante, la infraestructura física y el funcionamiento organizacional público (equipamiento, personal, tecnologías de gestión en instituciones estatales) están muy lejos de satisfacer estándares razonables</w:t>
      </w:r>
      <w:r w:rsidR="002E4DC9" w:rsidRPr="006C42BE">
        <w:rPr>
          <w:rFonts w:ascii="Times New Roman" w:hAnsi="Times New Roman" w:cs="Times New Roman"/>
          <w:sz w:val="24"/>
          <w:szCs w:val="24"/>
        </w:rPr>
        <w:t xml:space="preserve"> de acceso y calidad.</w:t>
      </w:r>
      <w:r w:rsidR="00733040" w:rsidRPr="006C42BE">
        <w:rPr>
          <w:rFonts w:ascii="Times New Roman" w:hAnsi="Times New Roman" w:cs="Times New Roman"/>
          <w:sz w:val="24"/>
          <w:szCs w:val="24"/>
        </w:rPr>
        <w:t xml:space="preserve"> </w:t>
      </w:r>
      <w:commentRangeStart w:id="25"/>
      <w:r w:rsidR="00733040" w:rsidRPr="006C42BE">
        <w:rPr>
          <w:rFonts w:ascii="Times New Roman" w:hAnsi="Times New Roman" w:cs="Times New Roman"/>
          <w:sz w:val="24"/>
          <w:szCs w:val="24"/>
        </w:rPr>
        <w:t>Mientras esa situación no se revierta, seguirá verificándose la hipótesis de la “</w:t>
      </w:r>
      <w:r w:rsidR="00A42519" w:rsidRPr="006C42BE">
        <w:rPr>
          <w:rFonts w:ascii="Times New Roman" w:hAnsi="Times New Roman" w:cs="Times New Roman"/>
          <w:sz w:val="24"/>
          <w:szCs w:val="24"/>
        </w:rPr>
        <w:t>regresividad cualitativa</w:t>
      </w:r>
      <w:r w:rsidR="00733040" w:rsidRPr="006C42BE">
        <w:rPr>
          <w:rFonts w:ascii="Times New Roman" w:hAnsi="Times New Roman" w:cs="Times New Roman"/>
          <w:sz w:val="24"/>
          <w:szCs w:val="24"/>
        </w:rPr>
        <w:t xml:space="preserve">” con la que Mostajo </w:t>
      </w:r>
      <w:r w:rsidR="00A42519" w:rsidRPr="006C42BE">
        <w:rPr>
          <w:rFonts w:ascii="Times New Roman" w:hAnsi="Times New Roman" w:cs="Times New Roman"/>
          <w:sz w:val="24"/>
          <w:szCs w:val="24"/>
        </w:rPr>
        <w:t xml:space="preserve">(2000) </w:t>
      </w:r>
      <w:r w:rsidR="00733040" w:rsidRPr="006C42BE">
        <w:rPr>
          <w:rFonts w:ascii="Times New Roman" w:hAnsi="Times New Roman" w:cs="Times New Roman"/>
          <w:sz w:val="24"/>
          <w:szCs w:val="24"/>
        </w:rPr>
        <w:t>describe las instituciones públicas en América Latina: se homogeneizan socialmente porque tienden a permanecer en ellas sólo quienes no pueden fugar a otras instituciones. A la vez, eso corroe la posibilidad de concretar una sociabilidad compartida, principal activo de las instituciones públicas</w:t>
      </w:r>
      <w:r w:rsidR="002E4DC9" w:rsidRPr="006C42BE">
        <w:rPr>
          <w:rFonts w:ascii="Times New Roman" w:hAnsi="Times New Roman" w:cs="Times New Roman"/>
          <w:sz w:val="24"/>
          <w:szCs w:val="24"/>
        </w:rPr>
        <w:t>, que también requiere ser alimentada como “aspiración” democrática y más igualitaria</w:t>
      </w:r>
      <w:r w:rsidR="00733040" w:rsidRPr="006C42BE">
        <w:rPr>
          <w:rFonts w:ascii="Times New Roman" w:hAnsi="Times New Roman" w:cs="Times New Roman"/>
          <w:sz w:val="24"/>
          <w:szCs w:val="24"/>
        </w:rPr>
        <w:t xml:space="preserve">. </w:t>
      </w:r>
      <w:commentRangeEnd w:id="25"/>
      <w:r w:rsidR="00903A75">
        <w:rPr>
          <w:rStyle w:val="Refdecomentario"/>
        </w:rPr>
        <w:commentReference w:id="25"/>
      </w:r>
    </w:p>
    <w:p w14:paraId="061B2EB1" w14:textId="77777777" w:rsidR="00733040" w:rsidRPr="006C42BE" w:rsidRDefault="00733040" w:rsidP="001E4181">
      <w:pPr>
        <w:spacing w:line="480" w:lineRule="auto"/>
        <w:rPr>
          <w:rFonts w:ascii="Times New Roman" w:hAnsi="Times New Roman" w:cs="Times New Roman"/>
          <w:sz w:val="24"/>
          <w:szCs w:val="24"/>
        </w:rPr>
      </w:pPr>
      <w:commentRangeStart w:id="26"/>
      <w:r w:rsidRPr="006C42BE">
        <w:rPr>
          <w:rFonts w:ascii="Times New Roman" w:hAnsi="Times New Roman" w:cs="Times New Roman"/>
          <w:sz w:val="24"/>
          <w:szCs w:val="24"/>
        </w:rPr>
        <w:t xml:space="preserve">3. Una arista que suma complejidad a los dos puntos anteriores es el “efecto candado” que pueden interponer prestadores privados poderosos, que bloquean la oferta pública de servicios de calidad más allá de los “grupos vulnerables” (pues competirían con su propia oferta en el mercado). Tanto en educación como en salud, Argentina tiene </w:t>
      </w:r>
      <w:r w:rsidR="002E4DC9" w:rsidRPr="006C42BE">
        <w:rPr>
          <w:rFonts w:ascii="Times New Roman" w:hAnsi="Times New Roman" w:cs="Times New Roman"/>
          <w:sz w:val="24"/>
          <w:szCs w:val="24"/>
        </w:rPr>
        <w:t xml:space="preserve">esos </w:t>
      </w:r>
      <w:r w:rsidRPr="006C42BE">
        <w:rPr>
          <w:rFonts w:ascii="Times New Roman" w:hAnsi="Times New Roman" w:cs="Times New Roman"/>
          <w:sz w:val="24"/>
          <w:szCs w:val="24"/>
        </w:rPr>
        <w:t xml:space="preserve">sectores privados con capacidad para “hacer política pública” (y para </w:t>
      </w:r>
      <w:r w:rsidR="002E4DC9" w:rsidRPr="006C42BE">
        <w:rPr>
          <w:rFonts w:ascii="Times New Roman" w:hAnsi="Times New Roman" w:cs="Times New Roman"/>
          <w:sz w:val="24"/>
          <w:szCs w:val="24"/>
        </w:rPr>
        <w:t>burlar</w:t>
      </w:r>
      <w:r w:rsidRPr="006C42BE">
        <w:rPr>
          <w:rFonts w:ascii="Times New Roman" w:hAnsi="Times New Roman" w:cs="Times New Roman"/>
          <w:sz w:val="24"/>
          <w:szCs w:val="24"/>
        </w:rPr>
        <w:t xml:space="preserve"> los mecanismos de control</w:t>
      </w:r>
      <w:r w:rsidR="002E4DC9"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2E4DC9" w:rsidRPr="006C42BE">
        <w:rPr>
          <w:rFonts w:ascii="Times New Roman" w:hAnsi="Times New Roman" w:cs="Times New Roman"/>
          <w:sz w:val="24"/>
          <w:szCs w:val="24"/>
        </w:rPr>
        <w:t xml:space="preserve">Son </w:t>
      </w:r>
      <w:r w:rsidRPr="006C42BE">
        <w:rPr>
          <w:rFonts w:ascii="Times New Roman" w:hAnsi="Times New Roman" w:cs="Times New Roman"/>
          <w:sz w:val="24"/>
          <w:szCs w:val="24"/>
        </w:rPr>
        <w:t>hostiles condiciones de partida, pero que exigen ser encaradas</w:t>
      </w:r>
      <w:commentRangeEnd w:id="26"/>
      <w:r w:rsidR="00D9621C">
        <w:rPr>
          <w:rStyle w:val="Refdecomentario"/>
        </w:rPr>
        <w:commentReference w:id="26"/>
      </w:r>
      <w:r w:rsidRPr="006C42BE">
        <w:rPr>
          <w:rFonts w:ascii="Times New Roman" w:hAnsi="Times New Roman" w:cs="Times New Roman"/>
          <w:sz w:val="24"/>
          <w:szCs w:val="24"/>
        </w:rPr>
        <w:t>.</w:t>
      </w:r>
    </w:p>
    <w:p w14:paraId="5BDAEBE1" w14:textId="77777777" w:rsidR="001D4015"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4. Finalmente: </w:t>
      </w:r>
      <w:r w:rsidR="001D4015" w:rsidRPr="006C42BE">
        <w:rPr>
          <w:rFonts w:ascii="Times New Roman" w:hAnsi="Times New Roman" w:cs="Times New Roman"/>
          <w:sz w:val="24"/>
          <w:szCs w:val="24"/>
        </w:rPr>
        <w:t xml:space="preserve">el ciclo de políticas analizado  tuvo importantes déficits técnicos </w:t>
      </w:r>
      <w:r w:rsidRPr="006C42BE">
        <w:rPr>
          <w:rFonts w:ascii="Times New Roman" w:hAnsi="Times New Roman" w:cs="Times New Roman"/>
          <w:sz w:val="24"/>
          <w:szCs w:val="24"/>
        </w:rPr>
        <w:t xml:space="preserve">y sociopolíticos </w:t>
      </w:r>
      <w:r w:rsidR="001D4015" w:rsidRPr="006C42BE">
        <w:rPr>
          <w:rFonts w:ascii="Times New Roman" w:hAnsi="Times New Roman" w:cs="Times New Roman"/>
          <w:sz w:val="24"/>
          <w:szCs w:val="24"/>
        </w:rPr>
        <w:t>en todos los sectores</w:t>
      </w:r>
      <w:r w:rsidR="00071251" w:rsidRPr="006C42BE">
        <w:rPr>
          <w:rFonts w:ascii="Times New Roman" w:hAnsi="Times New Roman" w:cs="Times New Roman"/>
          <w:sz w:val="24"/>
          <w:szCs w:val="24"/>
        </w:rPr>
        <w:t xml:space="preserve">. Quizás uno de los mayores fue el hecho de </w:t>
      </w:r>
      <w:r w:rsidR="002E4DC9" w:rsidRPr="006C42BE">
        <w:rPr>
          <w:rFonts w:ascii="Times New Roman" w:hAnsi="Times New Roman" w:cs="Times New Roman"/>
          <w:sz w:val="24"/>
          <w:szCs w:val="24"/>
        </w:rPr>
        <w:t xml:space="preserve">no </w:t>
      </w:r>
      <w:r w:rsidR="00071251" w:rsidRPr="006C42BE">
        <w:rPr>
          <w:rFonts w:ascii="Times New Roman" w:hAnsi="Times New Roman" w:cs="Times New Roman"/>
          <w:sz w:val="24"/>
          <w:szCs w:val="24"/>
        </w:rPr>
        <w:t>haber</w:t>
      </w:r>
      <w:r w:rsidR="002E4DC9" w:rsidRPr="006C42BE">
        <w:rPr>
          <w:rFonts w:ascii="Times New Roman" w:hAnsi="Times New Roman" w:cs="Times New Roman"/>
          <w:sz w:val="24"/>
          <w:szCs w:val="24"/>
        </w:rPr>
        <w:t>se</w:t>
      </w:r>
      <w:r w:rsidR="00071251" w:rsidRPr="006C42BE">
        <w:rPr>
          <w:rFonts w:ascii="Times New Roman" w:hAnsi="Times New Roman" w:cs="Times New Roman"/>
          <w:sz w:val="24"/>
          <w:szCs w:val="24"/>
        </w:rPr>
        <w:t xml:space="preserve"> advertido </w:t>
      </w:r>
      <w:r w:rsidR="001D4015" w:rsidRPr="006C42BE">
        <w:rPr>
          <w:rFonts w:ascii="Times New Roman" w:hAnsi="Times New Roman" w:cs="Times New Roman"/>
          <w:sz w:val="24"/>
          <w:szCs w:val="24"/>
        </w:rPr>
        <w:t xml:space="preserve">que, a la salida de la década de 1990, </w:t>
      </w:r>
      <w:r w:rsidR="00071251" w:rsidRPr="006C42BE">
        <w:rPr>
          <w:rFonts w:ascii="Times New Roman" w:hAnsi="Times New Roman" w:cs="Times New Roman"/>
          <w:sz w:val="24"/>
          <w:szCs w:val="24"/>
        </w:rPr>
        <w:t>la cultura de</w:t>
      </w:r>
      <w:r w:rsidR="001D4015" w:rsidRPr="006C42BE">
        <w:rPr>
          <w:rFonts w:ascii="Times New Roman" w:hAnsi="Times New Roman" w:cs="Times New Roman"/>
          <w:sz w:val="24"/>
          <w:szCs w:val="24"/>
        </w:rPr>
        <w:t xml:space="preserve"> “derechos sociales” </w:t>
      </w:r>
      <w:r w:rsidR="00071251" w:rsidRPr="006C42BE">
        <w:rPr>
          <w:rFonts w:ascii="Times New Roman" w:hAnsi="Times New Roman" w:cs="Times New Roman"/>
          <w:sz w:val="24"/>
          <w:szCs w:val="24"/>
        </w:rPr>
        <w:t xml:space="preserve">que había caracterizado a la sociedad argentina había </w:t>
      </w:r>
      <w:r w:rsidR="002E4DC9" w:rsidRPr="006C42BE">
        <w:rPr>
          <w:rFonts w:ascii="Times New Roman" w:hAnsi="Times New Roman" w:cs="Times New Roman"/>
          <w:sz w:val="24"/>
          <w:szCs w:val="24"/>
        </w:rPr>
        <w:t xml:space="preserve">permanecido al precio de </w:t>
      </w:r>
      <w:r w:rsidR="00071251" w:rsidRPr="006C42BE">
        <w:rPr>
          <w:rFonts w:ascii="Times New Roman" w:hAnsi="Times New Roman" w:cs="Times New Roman"/>
          <w:sz w:val="24"/>
          <w:szCs w:val="24"/>
        </w:rPr>
        <w:t>profundiza</w:t>
      </w:r>
      <w:r w:rsidR="002E4DC9" w:rsidRPr="006C42BE">
        <w:rPr>
          <w:rFonts w:ascii="Times New Roman" w:hAnsi="Times New Roman" w:cs="Times New Roman"/>
          <w:sz w:val="24"/>
          <w:szCs w:val="24"/>
        </w:rPr>
        <w:t>r</w:t>
      </w:r>
      <w:r w:rsidR="00071251" w:rsidRPr="006C42BE">
        <w:rPr>
          <w:rFonts w:ascii="Times New Roman" w:hAnsi="Times New Roman" w:cs="Times New Roman"/>
          <w:sz w:val="24"/>
          <w:szCs w:val="24"/>
        </w:rPr>
        <w:t xml:space="preserve"> sus contenidos </w:t>
      </w:r>
      <w:r w:rsidR="001D4015" w:rsidRPr="006C42BE">
        <w:rPr>
          <w:rFonts w:ascii="Times New Roman" w:hAnsi="Times New Roman" w:cs="Times New Roman"/>
          <w:sz w:val="24"/>
          <w:szCs w:val="24"/>
        </w:rPr>
        <w:t>particularista</w:t>
      </w:r>
      <w:r w:rsidR="00071251" w:rsidRPr="006C42BE">
        <w:rPr>
          <w:rFonts w:ascii="Times New Roman" w:hAnsi="Times New Roman" w:cs="Times New Roman"/>
          <w:sz w:val="24"/>
          <w:szCs w:val="24"/>
        </w:rPr>
        <w:t>s</w:t>
      </w:r>
      <w:r w:rsidR="001D4015" w:rsidRPr="006C42BE">
        <w:rPr>
          <w:rFonts w:ascii="Times New Roman" w:hAnsi="Times New Roman" w:cs="Times New Roman"/>
          <w:sz w:val="24"/>
          <w:szCs w:val="24"/>
        </w:rPr>
        <w:t xml:space="preserve">. Herencia compleja de tradiciones y </w:t>
      </w:r>
      <w:r w:rsidR="00071251" w:rsidRPr="006C42BE">
        <w:rPr>
          <w:rFonts w:ascii="Times New Roman" w:hAnsi="Times New Roman" w:cs="Times New Roman"/>
          <w:sz w:val="24"/>
          <w:szCs w:val="24"/>
        </w:rPr>
        <w:t>de</w:t>
      </w:r>
      <w:r w:rsidR="001D4015" w:rsidRPr="006C42BE">
        <w:rPr>
          <w:rFonts w:ascii="Times New Roman" w:hAnsi="Times New Roman" w:cs="Times New Roman"/>
          <w:sz w:val="24"/>
          <w:szCs w:val="24"/>
        </w:rPr>
        <w:t xml:space="preserve"> transformación neoliberal en el plano de la sociabilidad, ello dio lugar a una </w:t>
      </w:r>
      <w:r w:rsidR="001D4015" w:rsidRPr="006C42BE">
        <w:rPr>
          <w:rFonts w:ascii="Times New Roman" w:hAnsi="Times New Roman" w:cs="Times New Roman"/>
          <w:i/>
          <w:sz w:val="24"/>
          <w:szCs w:val="24"/>
        </w:rPr>
        <w:t xml:space="preserve">crítica por </w:t>
      </w:r>
      <w:r w:rsidR="001D4015" w:rsidRPr="006C42BE">
        <w:rPr>
          <w:rFonts w:ascii="Times New Roman" w:hAnsi="Times New Roman" w:cs="Times New Roman"/>
          <w:i/>
          <w:sz w:val="24"/>
          <w:szCs w:val="24"/>
        </w:rPr>
        <w:lastRenderedPageBreak/>
        <w:t>el exceso –no por el defecto- de redistribución</w:t>
      </w:r>
      <w:r w:rsidR="001D4015" w:rsidRPr="006C42BE">
        <w:rPr>
          <w:rFonts w:ascii="Times New Roman" w:hAnsi="Times New Roman" w:cs="Times New Roman"/>
          <w:sz w:val="24"/>
          <w:szCs w:val="24"/>
        </w:rPr>
        <w:t xml:space="preserve"> y por el desdibujamiento de las fronteras sociales, no por su persistencia. </w:t>
      </w:r>
      <w:r w:rsidR="00071251" w:rsidRPr="006C42BE">
        <w:rPr>
          <w:rFonts w:ascii="Times New Roman" w:hAnsi="Times New Roman" w:cs="Times New Roman"/>
          <w:sz w:val="24"/>
          <w:szCs w:val="24"/>
        </w:rPr>
        <w:t xml:space="preserve">Más aún, </w:t>
      </w:r>
      <w:r w:rsidR="001D4015" w:rsidRPr="006C42BE">
        <w:rPr>
          <w:rFonts w:ascii="Times New Roman" w:hAnsi="Times New Roman" w:cs="Times New Roman"/>
          <w:sz w:val="24"/>
          <w:szCs w:val="24"/>
        </w:rPr>
        <w:t xml:space="preserve">esa crítica no provino sólo de sectores medios “convencionales” –urbanos, insertos en trabajos de servicios, con niveles educativos superiores - sino que sumó voces entre </w:t>
      </w:r>
      <w:r w:rsidR="002E4DC9" w:rsidRPr="006C42BE">
        <w:rPr>
          <w:rFonts w:ascii="Times New Roman" w:hAnsi="Times New Roman" w:cs="Times New Roman"/>
          <w:sz w:val="24"/>
          <w:szCs w:val="24"/>
        </w:rPr>
        <w:t xml:space="preserve">las clases </w:t>
      </w:r>
      <w:r w:rsidR="001D4015" w:rsidRPr="006C42BE">
        <w:rPr>
          <w:rFonts w:ascii="Times New Roman" w:hAnsi="Times New Roman" w:cs="Times New Roman"/>
          <w:sz w:val="24"/>
          <w:szCs w:val="24"/>
        </w:rPr>
        <w:t>trabajador</w:t>
      </w:r>
      <w:r w:rsidR="002E4DC9" w:rsidRPr="006C42BE">
        <w:rPr>
          <w:rFonts w:ascii="Times New Roman" w:hAnsi="Times New Roman" w:cs="Times New Roman"/>
          <w:sz w:val="24"/>
          <w:szCs w:val="24"/>
        </w:rPr>
        <w:t>a</w:t>
      </w:r>
      <w:r w:rsidR="001D4015" w:rsidRPr="006C42BE">
        <w:rPr>
          <w:rFonts w:ascii="Times New Roman" w:hAnsi="Times New Roman" w:cs="Times New Roman"/>
          <w:sz w:val="24"/>
          <w:szCs w:val="24"/>
        </w:rPr>
        <w:t xml:space="preserve">s </w:t>
      </w:r>
      <w:r w:rsidR="002E4DC9" w:rsidRPr="006C42BE">
        <w:rPr>
          <w:rFonts w:ascii="Times New Roman" w:hAnsi="Times New Roman" w:cs="Times New Roman"/>
          <w:sz w:val="24"/>
          <w:szCs w:val="24"/>
        </w:rPr>
        <w:t xml:space="preserve">(ahora sí) “convencionales”. </w:t>
      </w:r>
    </w:p>
    <w:p w14:paraId="7897FDB0" w14:textId="77777777" w:rsidR="00071251" w:rsidRPr="006C42BE" w:rsidRDefault="00D604B2"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Dos planos enlazados en el análisis (instituciones/instrumentos y significados y expectativas sociales), ambos constituidos en ámbitos y objetos de intervención. </w:t>
      </w:r>
      <w:r w:rsidR="000022DE">
        <w:rPr>
          <w:rFonts w:ascii="Times New Roman" w:hAnsi="Times New Roman" w:cs="Times New Roman"/>
          <w:sz w:val="24"/>
          <w:szCs w:val="24"/>
        </w:rPr>
        <w:t>Y d</w:t>
      </w:r>
      <w:r w:rsidRPr="006C42BE">
        <w:rPr>
          <w:rFonts w:ascii="Times New Roman" w:hAnsi="Times New Roman" w:cs="Times New Roman"/>
          <w:sz w:val="24"/>
          <w:szCs w:val="24"/>
        </w:rPr>
        <w:t xml:space="preserve">os horizontes </w:t>
      </w:r>
      <w:r w:rsidR="000022DE">
        <w:rPr>
          <w:rFonts w:ascii="Times New Roman" w:hAnsi="Times New Roman" w:cs="Times New Roman"/>
          <w:sz w:val="24"/>
          <w:szCs w:val="24"/>
        </w:rPr>
        <w:t xml:space="preserve">que </w:t>
      </w:r>
      <w:r w:rsidRPr="006C42BE">
        <w:rPr>
          <w:rFonts w:ascii="Times New Roman" w:hAnsi="Times New Roman" w:cs="Times New Roman"/>
          <w:sz w:val="24"/>
          <w:szCs w:val="24"/>
        </w:rPr>
        <w:t>requieren discu</w:t>
      </w:r>
      <w:r w:rsidR="000022DE">
        <w:rPr>
          <w:rFonts w:ascii="Times New Roman" w:hAnsi="Times New Roman" w:cs="Times New Roman"/>
          <w:sz w:val="24"/>
          <w:szCs w:val="24"/>
        </w:rPr>
        <w:t>sión</w:t>
      </w:r>
      <w:r w:rsidRPr="006C42BE">
        <w:rPr>
          <w:rFonts w:ascii="Times New Roman" w:hAnsi="Times New Roman" w:cs="Times New Roman"/>
          <w:sz w:val="24"/>
          <w:szCs w:val="24"/>
        </w:rPr>
        <w:t>: la r</w:t>
      </w:r>
      <w:r w:rsidR="00071251" w:rsidRPr="006C42BE">
        <w:rPr>
          <w:rFonts w:ascii="Times New Roman" w:hAnsi="Times New Roman" w:cs="Times New Roman"/>
          <w:sz w:val="24"/>
          <w:szCs w:val="24"/>
        </w:rPr>
        <w:t>ecuperación material y simbólica de “lo público”, sobre la base de servicios genuinamente igualadores</w:t>
      </w:r>
      <w:r w:rsidRPr="006C42BE">
        <w:rPr>
          <w:rFonts w:ascii="Times New Roman" w:hAnsi="Times New Roman" w:cs="Times New Roman"/>
          <w:sz w:val="24"/>
          <w:szCs w:val="24"/>
        </w:rPr>
        <w:t>,</w:t>
      </w:r>
      <w:r w:rsidR="00071251"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la </w:t>
      </w:r>
      <w:r w:rsidR="00071251" w:rsidRPr="006C42BE">
        <w:rPr>
          <w:rFonts w:ascii="Times New Roman" w:hAnsi="Times New Roman" w:cs="Times New Roman"/>
          <w:sz w:val="24"/>
          <w:szCs w:val="24"/>
        </w:rPr>
        <w:t xml:space="preserve">transformación de la sociabilidad en una dirección más compartida. </w:t>
      </w:r>
    </w:p>
    <w:p w14:paraId="79EC38CD" w14:textId="77777777" w:rsidR="00F81417" w:rsidRPr="006C42BE" w:rsidRDefault="00F81417" w:rsidP="001E4181">
      <w:pPr>
        <w:rPr>
          <w:rFonts w:ascii="Times New Roman" w:hAnsi="Times New Roman" w:cs="Times New Roman"/>
          <w:b/>
          <w:sz w:val="24"/>
          <w:szCs w:val="24"/>
        </w:rPr>
      </w:pPr>
      <w:r w:rsidRPr="006C42BE">
        <w:rPr>
          <w:rFonts w:ascii="Times New Roman" w:hAnsi="Times New Roman" w:cs="Times New Roman"/>
          <w:b/>
          <w:sz w:val="24"/>
          <w:szCs w:val="24"/>
        </w:rPr>
        <w:br w:type="page"/>
      </w:r>
    </w:p>
    <w:p w14:paraId="764C1804" w14:textId="77777777" w:rsidR="00FD6063" w:rsidRPr="006C42BE" w:rsidRDefault="00FD6063" w:rsidP="001E4181">
      <w:pPr>
        <w:rPr>
          <w:b/>
        </w:rPr>
      </w:pPr>
      <w:r w:rsidRPr="006C42BE">
        <w:rPr>
          <w:b/>
        </w:rPr>
        <w:lastRenderedPageBreak/>
        <w:t xml:space="preserve">Bibliografía: </w:t>
      </w:r>
    </w:p>
    <w:p w14:paraId="604241EB"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Alvarez Leguizamón, S. y Arias, A. (2016), </w:t>
      </w:r>
      <w:r w:rsidR="00945350" w:rsidRPr="006C42BE">
        <w:rPr>
          <w:rFonts w:ascii="Times New Roman" w:hAnsi="Times New Roman" w:cs="Times New Roman"/>
        </w:rPr>
        <w:t>E</w:t>
      </w:r>
      <w:r w:rsidRPr="006C42BE">
        <w:rPr>
          <w:rFonts w:ascii="Times New Roman" w:hAnsi="Times New Roman" w:cs="Times New Roman"/>
        </w:rPr>
        <w:t>studios sociales sobre la pobreza. En S. Alvarez Leguizam</w:t>
      </w:r>
      <w:r w:rsidR="00165F9B" w:rsidRPr="006C42BE">
        <w:rPr>
          <w:rFonts w:ascii="Times New Roman" w:hAnsi="Times New Roman" w:cs="Times New Roman"/>
        </w:rPr>
        <w:t>ó</w:t>
      </w:r>
      <w:r w:rsidRPr="006C42BE">
        <w:rPr>
          <w:rFonts w:ascii="Times New Roman" w:hAnsi="Times New Roman" w:cs="Times New Roman"/>
        </w:rPr>
        <w:t xml:space="preserve">n, A. Arias y L. Muñiz (Ed.) </w:t>
      </w:r>
      <w:r w:rsidRPr="006C42BE">
        <w:rPr>
          <w:rFonts w:ascii="Times New Roman" w:hAnsi="Times New Roman" w:cs="Times New Roman"/>
          <w:i/>
        </w:rPr>
        <w:t xml:space="preserve">Estudios sobre la estructura social en la Argentina Contemporánea </w:t>
      </w:r>
      <w:r w:rsidRPr="006C42BE">
        <w:rPr>
          <w:rFonts w:ascii="Times New Roman" w:hAnsi="Times New Roman" w:cs="Times New Roman"/>
        </w:rPr>
        <w:t>(pp 391-467). Buenos Aires: PISAC-CLACSO-Consejo de Decanos.</w:t>
      </w:r>
    </w:p>
    <w:p w14:paraId="68E7C6EF"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Arias, A.</w:t>
      </w:r>
      <w:r w:rsidR="000052F5" w:rsidRPr="006C42BE">
        <w:rPr>
          <w:rFonts w:ascii="Times New Roman" w:hAnsi="Times New Roman" w:cs="Times New Roman"/>
        </w:rPr>
        <w:t xml:space="preserve"> (2012)</w:t>
      </w:r>
      <w:r w:rsidRPr="006C42BE">
        <w:rPr>
          <w:rFonts w:ascii="Times New Roman" w:hAnsi="Times New Roman" w:cs="Times New Roman"/>
        </w:rPr>
        <w:t xml:space="preserve">, </w:t>
      </w:r>
      <w:r w:rsidRPr="006C42BE">
        <w:rPr>
          <w:rFonts w:ascii="Times New Roman" w:hAnsi="Times New Roman" w:cs="Times New Roman"/>
          <w:i/>
        </w:rPr>
        <w:t xml:space="preserve">Pobreza y modelos de intervención. </w:t>
      </w:r>
      <w:r w:rsidRPr="006C42BE">
        <w:rPr>
          <w:rFonts w:ascii="Times New Roman" w:hAnsi="Times New Roman" w:cs="Times New Roman"/>
        </w:rPr>
        <w:t>Buenos Aires: Espacio.</w:t>
      </w:r>
    </w:p>
    <w:p w14:paraId="1EC7B49D"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Beccaria, L. (2007), Pobreza, en Torrado, S. (comp) </w:t>
      </w:r>
      <w:r w:rsidRPr="006C42BE">
        <w:rPr>
          <w:rFonts w:ascii="Times New Roman" w:hAnsi="Times New Roman" w:cs="Times New Roman"/>
          <w:i/>
        </w:rPr>
        <w:t xml:space="preserve">Población y bienestar en la Argentina del segundo Centenario. </w:t>
      </w:r>
      <w:r w:rsidRPr="006C42BE">
        <w:rPr>
          <w:rFonts w:ascii="Times New Roman" w:hAnsi="Times New Roman" w:cs="Times New Roman"/>
        </w:rPr>
        <w:t>Buenos Aires: Edhasa.</w:t>
      </w:r>
    </w:p>
    <w:p w14:paraId="6E68B330" w14:textId="77777777"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Cecchini, S; Filgueira, F. Martínez, R. y Rossel, C (2015), </w:t>
      </w:r>
      <w:r w:rsidRPr="006C42BE">
        <w:rPr>
          <w:rFonts w:ascii="Times New Roman" w:eastAsia="Arial" w:hAnsi="Times New Roman" w:cs="Times New Roman"/>
          <w:i/>
        </w:rPr>
        <w:t>Instrumen</w:t>
      </w:r>
      <w:r w:rsidR="00945350" w:rsidRPr="006C42BE">
        <w:rPr>
          <w:rFonts w:ascii="Times New Roman" w:eastAsia="Arial" w:hAnsi="Times New Roman" w:cs="Times New Roman"/>
          <w:i/>
        </w:rPr>
        <w:t>tos de protección social:</w:t>
      </w:r>
      <w:r w:rsidRPr="006C42BE">
        <w:rPr>
          <w:rFonts w:ascii="Times New Roman" w:eastAsia="Arial" w:hAnsi="Times New Roman" w:cs="Times New Roman"/>
          <w:i/>
        </w:rPr>
        <w:t>.</w:t>
      </w:r>
      <w:r w:rsidRPr="006C42BE">
        <w:rPr>
          <w:rFonts w:ascii="Times New Roman" w:eastAsia="Arial" w:hAnsi="Times New Roman" w:cs="Times New Roman"/>
        </w:rPr>
        <w:t xml:space="preserve"> Santiago, Chile: CEPAL.</w:t>
      </w:r>
    </w:p>
    <w:p w14:paraId="41AF3591" w14:textId="77777777"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C</w:t>
      </w:r>
      <w:r w:rsidR="00165F9B" w:rsidRPr="006C42BE">
        <w:rPr>
          <w:rFonts w:ascii="Times New Roman" w:eastAsia="Arial" w:hAnsi="Times New Roman" w:cs="Times New Roman"/>
        </w:rPr>
        <w:t>hiara</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C</w:t>
      </w:r>
      <w:r w:rsidR="00165F9B" w:rsidRPr="006C42BE">
        <w:rPr>
          <w:rFonts w:ascii="Times New Roman" w:eastAsia="Arial" w:hAnsi="Times New Roman" w:cs="Times New Roman"/>
        </w:rPr>
        <w:t>rojethovic</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y A</w:t>
      </w:r>
      <w:r w:rsidR="00165F9B" w:rsidRPr="006C42BE">
        <w:rPr>
          <w:rFonts w:ascii="Times New Roman" w:eastAsia="Arial" w:hAnsi="Times New Roman" w:cs="Times New Roman"/>
        </w:rPr>
        <w:t>riovich</w:t>
      </w:r>
      <w:r w:rsidRPr="006C42BE">
        <w:rPr>
          <w:rFonts w:ascii="Times New Roman" w:eastAsia="Arial" w:hAnsi="Times New Roman" w:cs="Times New Roman"/>
        </w:rPr>
        <w:t>, A</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(2017): El universalismo en salud en Arg</w:t>
      </w:r>
      <w:r w:rsidR="00165F9B" w:rsidRPr="006C42BE">
        <w:rPr>
          <w:rFonts w:ascii="Times New Roman" w:eastAsia="Arial" w:hAnsi="Times New Roman" w:cs="Times New Roman"/>
        </w:rPr>
        <w:t>e</w:t>
      </w:r>
      <w:r w:rsidRPr="006C42BE">
        <w:rPr>
          <w:rFonts w:ascii="Times New Roman" w:eastAsia="Arial" w:hAnsi="Times New Roman" w:cs="Times New Roman"/>
        </w:rPr>
        <w:t>ntina 2003</w:t>
      </w:r>
      <w:r w:rsidR="00247BD2" w:rsidRPr="006C42BE">
        <w:rPr>
          <w:rFonts w:ascii="Times New Roman" w:eastAsia="Arial" w:hAnsi="Times New Roman" w:cs="Times New Roman"/>
        </w:rPr>
        <w:t>-</w:t>
      </w:r>
      <w:r w:rsidRPr="006C42BE">
        <w:rPr>
          <w:rFonts w:ascii="Times New Roman" w:eastAsia="Arial" w:hAnsi="Times New Roman" w:cs="Times New Roman"/>
        </w:rPr>
        <w:t xml:space="preserve">2015: balances y desafíos desde una aproximación macroinstitucional. En: </w:t>
      </w:r>
      <w:r w:rsidRPr="006C42BE">
        <w:rPr>
          <w:rFonts w:ascii="Times New Roman" w:eastAsia="Arial" w:hAnsi="Times New Roman" w:cs="Times New Roman"/>
          <w:i/>
        </w:rPr>
        <w:t xml:space="preserve">Salud Colectiva </w:t>
      </w:r>
      <w:r w:rsidRPr="006C42BE">
        <w:rPr>
          <w:rFonts w:ascii="Times New Roman" w:eastAsia="Arial" w:hAnsi="Times New Roman" w:cs="Times New Roman"/>
        </w:rPr>
        <w:t>Nª 13,</w:t>
      </w:r>
      <w:r w:rsidRPr="006C42BE">
        <w:rPr>
          <w:rFonts w:ascii="Times New Roman" w:eastAsia="Arial" w:hAnsi="Times New Roman" w:cs="Times New Roman"/>
          <w:i/>
        </w:rPr>
        <w:t xml:space="preserve"> </w:t>
      </w:r>
      <w:r w:rsidRPr="006C42BE">
        <w:rPr>
          <w:rFonts w:ascii="Times New Roman" w:eastAsia="Arial" w:hAnsi="Times New Roman" w:cs="Times New Roman"/>
        </w:rPr>
        <w:t xml:space="preserve">Vol 4. Lanús, Buenos Aires: Universidad de Lanús. </w:t>
      </w:r>
    </w:p>
    <w:p w14:paraId="79A6E2B3" w14:textId="77777777"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Chiara, M. y Di Virgilio, M. (2005), </w:t>
      </w:r>
      <w:r w:rsidRPr="006C42BE">
        <w:rPr>
          <w:rFonts w:ascii="Times New Roman" w:eastAsia="Arial" w:hAnsi="Times New Roman" w:cs="Times New Roman"/>
          <w:i/>
        </w:rPr>
        <w:t xml:space="preserve">Gestión social y municipios.. </w:t>
      </w:r>
      <w:r w:rsidRPr="006C42BE">
        <w:rPr>
          <w:rFonts w:ascii="Times New Roman" w:eastAsia="Arial" w:hAnsi="Times New Roman" w:cs="Times New Roman"/>
        </w:rPr>
        <w:t>Buenos Aires: Prometeo-UNGS.</w:t>
      </w:r>
    </w:p>
    <w:p w14:paraId="1253E3DE" w14:textId="77777777" w:rsidR="009806D5" w:rsidRPr="006C42BE" w:rsidRDefault="009806D5" w:rsidP="001E4181">
      <w:pPr>
        <w:spacing w:line="360" w:lineRule="auto"/>
        <w:rPr>
          <w:rFonts w:ascii="Times New Roman" w:hAnsi="Times New Roman" w:cs="Times New Roman"/>
        </w:rPr>
      </w:pPr>
      <w:r w:rsidRPr="006C42BE">
        <w:rPr>
          <w:rFonts w:ascii="Times New Roman" w:eastAsia="Arial" w:hAnsi="Times New Roman" w:cs="Times New Roman"/>
        </w:rPr>
        <w:t xml:space="preserve">CIFRA (2015), Resultados de pobreza e indigencia-2015. </w:t>
      </w:r>
      <w:r w:rsidR="00247BD2" w:rsidRPr="006C42BE">
        <w:rPr>
          <w:rFonts w:ascii="Times New Roman" w:eastAsia="Arial" w:hAnsi="Times New Roman" w:cs="Times New Roman"/>
        </w:rPr>
        <w:t>E</w:t>
      </w:r>
      <w:r w:rsidRPr="006C42BE">
        <w:rPr>
          <w:rFonts w:ascii="Times New Roman" w:eastAsia="Arial" w:hAnsi="Times New Roman" w:cs="Times New Roman"/>
        </w:rPr>
        <w:t>special. Buenos Aires.</w:t>
      </w:r>
    </w:p>
    <w:p w14:paraId="3759726C" w14:textId="77777777" w:rsidR="00FD6063" w:rsidRPr="006C42BE" w:rsidRDefault="00FD6063" w:rsidP="001E4181">
      <w:pPr>
        <w:spacing w:line="360" w:lineRule="auto"/>
        <w:rPr>
          <w:rFonts w:ascii="Times New Roman" w:hAnsi="Times New Roman" w:cs="Times New Roman"/>
        </w:rPr>
      </w:pPr>
      <w:r w:rsidRPr="006C42BE">
        <w:rPr>
          <w:rFonts w:ascii="Times New Roman" w:eastAsia="Calibri" w:hAnsi="Times New Roman" w:cs="Times New Roman"/>
          <w:lang w:val="es-MX"/>
        </w:rPr>
        <w:t xml:space="preserve">Costa, M., Curcio, J. y Grushka, C. (2014), La institucionalidad de </w:t>
      </w:r>
      <w:r w:rsidR="004E7730" w:rsidRPr="006C42BE">
        <w:rPr>
          <w:rFonts w:ascii="Times New Roman" w:eastAsia="Calibri" w:hAnsi="Times New Roman" w:cs="Times New Roman"/>
          <w:lang w:val="es-MX"/>
        </w:rPr>
        <w:t xml:space="preserve">la </w:t>
      </w:r>
      <w:r w:rsidR="00247BD2" w:rsidRPr="006C42BE">
        <w:rPr>
          <w:rFonts w:ascii="Times New Roman" w:eastAsia="Calibri" w:hAnsi="Times New Roman" w:cs="Times New Roman"/>
          <w:lang w:val="es-MX"/>
        </w:rPr>
        <w:t>ANSES</w:t>
      </w:r>
      <w:r w:rsidRPr="006C42BE">
        <w:rPr>
          <w:rFonts w:ascii="Times New Roman" w:eastAsia="Calibri" w:hAnsi="Times New Roman" w:cs="Times New Roman"/>
          <w:lang w:val="es-MX"/>
        </w:rPr>
        <w:t xml:space="preserve"> en el Sistema  argentino, en Danani, C. y Hintze, S. (coord) </w:t>
      </w:r>
      <w:r w:rsidRPr="006C42BE">
        <w:rPr>
          <w:rFonts w:ascii="Times New Roman" w:eastAsia="Calibri" w:hAnsi="Times New Roman" w:cs="Times New Roman"/>
          <w:i/>
          <w:lang w:val="es-MX"/>
        </w:rPr>
        <w:t>Protecciones y desprotecciones (II)-.</w:t>
      </w:r>
      <w:r w:rsidRPr="006C42BE">
        <w:rPr>
          <w:rFonts w:ascii="Times New Roman" w:eastAsia="Calibri" w:hAnsi="Times New Roman" w:cs="Times New Roman"/>
          <w:lang w:val="es-MX"/>
        </w:rPr>
        <w:t xml:space="preserve"> Los Polvorines: Universidad Nacional General Sarmiento.</w:t>
      </w:r>
    </w:p>
    <w:p w14:paraId="7D876A9A"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Dagnino, E.; Olvera, A. y Panfichi, A. (2006), </w:t>
      </w:r>
      <w:r w:rsidRPr="006C42BE">
        <w:rPr>
          <w:rFonts w:ascii="Times New Roman" w:hAnsi="Times New Roman" w:cs="Times New Roman"/>
          <w:i/>
        </w:rPr>
        <w:t>Para otra lectura de la disputa por la construcción democrática.</w:t>
      </w:r>
      <w:r w:rsidRPr="006C42BE">
        <w:rPr>
          <w:rFonts w:ascii="Times New Roman" w:hAnsi="Times New Roman" w:cs="Times New Roman"/>
        </w:rPr>
        <w:t xml:space="preserve"> Programa de Investigación Democracia, sociedad civil y Derechos Humanos. CIESAS-Universidad Veracruzana. México.</w:t>
      </w:r>
    </w:p>
    <w:p w14:paraId="4F11A030"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(2013), El sistema de protección social argentino entre 2002 y 2013. </w:t>
      </w:r>
      <w:r w:rsidRPr="006C42BE">
        <w:rPr>
          <w:rFonts w:ascii="Times New Roman" w:hAnsi="Times New Roman" w:cs="Times New Roman"/>
          <w:i/>
        </w:rPr>
        <w:t xml:space="preserve">Revista Uruguaya de Ciencia Política Nª 14. </w:t>
      </w:r>
      <w:r w:rsidRPr="006C42BE">
        <w:rPr>
          <w:rFonts w:ascii="Times New Roman" w:hAnsi="Times New Roman" w:cs="Times New Roman"/>
        </w:rPr>
        <w:t>Montevideo,: Instituto de Ciencia Política.</w:t>
      </w:r>
    </w:p>
    <w:p w14:paraId="723B3038"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Beccaria, A.l (2011), La </w:t>
      </w:r>
      <w:r w:rsidR="00165F9B" w:rsidRPr="006C42BE">
        <w:rPr>
          <w:rFonts w:ascii="Times New Roman" w:hAnsi="Times New Roman" w:cs="Times New Roman"/>
        </w:rPr>
        <w:t>contra-</w:t>
      </w:r>
      <w:r w:rsidRPr="006C42BE">
        <w:rPr>
          <w:rFonts w:ascii="Times New Roman" w:hAnsi="Times New Roman" w:cs="Times New Roman"/>
        </w:rPr>
        <w:t xml:space="preserve">reforma previsional argentina 2004-2008: aspectos institucionales y político-culturales, en Danani, C. y Hintze, S. (coord.), </w:t>
      </w:r>
      <w:r w:rsidRPr="006C42BE">
        <w:rPr>
          <w:rFonts w:ascii="Times New Roman" w:hAnsi="Times New Roman" w:cs="Times New Roman"/>
          <w:i/>
        </w:rPr>
        <w:t>Protecciones y desprotecciones: la seguridad social en Argentina</w:t>
      </w:r>
      <w:r w:rsidRPr="006C42BE">
        <w:rPr>
          <w:rFonts w:ascii="Times New Roman" w:hAnsi="Times New Roman" w:cs="Times New Roman"/>
        </w:rPr>
        <w:t>. Los Polvorines, Argentina: Universidad Nacional General Sarmiento.</w:t>
      </w:r>
    </w:p>
    <w:p w14:paraId="63B5CBED"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Grassi, E. (2018), La protección institucionalizada, en Piovani, J. y Salvia, A. (coord) </w:t>
      </w:r>
      <w:r w:rsidRPr="006C42BE">
        <w:rPr>
          <w:rFonts w:ascii="Times New Roman" w:hAnsi="Times New Roman" w:cs="Times New Roman"/>
          <w:i/>
        </w:rPr>
        <w:t xml:space="preserve">La Argentina en el Siglo XXI. </w:t>
      </w:r>
      <w:r w:rsidRPr="006C42BE">
        <w:rPr>
          <w:rFonts w:ascii="Times New Roman" w:hAnsi="Times New Roman" w:cs="Times New Roman"/>
        </w:rPr>
        <w:t>Buenos Aires: Siglo XXI.</w:t>
      </w:r>
    </w:p>
    <w:p w14:paraId="505D3F67" w14:textId="77777777" w:rsidR="00FD6063" w:rsidRPr="006C42BE" w:rsidRDefault="00FD6063" w:rsidP="001E4181">
      <w:pPr>
        <w:spacing w:after="0" w:line="360" w:lineRule="auto"/>
        <w:rPr>
          <w:rFonts w:ascii="Times New Roman" w:hAnsi="Times New Roman" w:cs="Times New Roman"/>
          <w:lang w:val="en-GB"/>
        </w:rPr>
      </w:pPr>
      <w:r w:rsidRPr="006C42BE">
        <w:rPr>
          <w:rFonts w:ascii="Times New Roman" w:hAnsi="Times New Roman" w:cs="Times New Roman"/>
        </w:rPr>
        <w:lastRenderedPageBreak/>
        <w:t>Durán Valverde, F</w:t>
      </w:r>
      <w:r w:rsidR="000052F5" w:rsidRPr="006C42BE">
        <w:rPr>
          <w:rFonts w:ascii="Times New Roman" w:hAnsi="Times New Roman" w:cs="Times New Roman"/>
        </w:rPr>
        <w:t xml:space="preserve">. </w:t>
      </w:r>
      <w:r w:rsidRPr="006C42BE">
        <w:rPr>
          <w:rFonts w:ascii="Times New Roman" w:hAnsi="Times New Roman" w:cs="Times New Roman"/>
        </w:rPr>
        <w:t xml:space="preserve">(2007), Estrategias para la universalización del sistema de pensiones,  en: Sojo, A. y Uthoff, A. (comp), </w:t>
      </w:r>
      <w:r w:rsidRPr="006C42BE">
        <w:rPr>
          <w:rFonts w:ascii="Times New Roman" w:hAnsi="Times New Roman" w:cs="Times New Roman"/>
          <w:i/>
        </w:rPr>
        <w:t xml:space="preserve">Desempeño económico y política social en América e. </w:t>
      </w:r>
      <w:r w:rsidRPr="006C42BE">
        <w:rPr>
          <w:rFonts w:ascii="Times New Roman" w:hAnsi="Times New Roman" w:cs="Times New Roman"/>
        </w:rPr>
        <w:t xml:space="preserve">México. </w:t>
      </w:r>
      <w:r w:rsidRPr="006C42BE">
        <w:rPr>
          <w:rFonts w:ascii="Times New Roman" w:hAnsi="Times New Roman" w:cs="Times New Roman"/>
          <w:lang w:val="en-GB"/>
        </w:rPr>
        <w:t>CEPAL/FLACSO/GTZ/Indesol/Fontamara.</w:t>
      </w:r>
    </w:p>
    <w:p w14:paraId="2456395F" w14:textId="77777777" w:rsidR="00FD6063" w:rsidRPr="006C42BE" w:rsidRDefault="00FD6063" w:rsidP="001E4181">
      <w:pPr>
        <w:spacing w:line="360" w:lineRule="auto"/>
        <w:rPr>
          <w:rFonts w:ascii="Times New Roman" w:hAnsi="Times New Roman" w:cs="Times New Roman"/>
          <w:lang w:val="en-GB"/>
        </w:rPr>
      </w:pPr>
    </w:p>
    <w:p w14:paraId="1AE3BB05" w14:textId="77777777" w:rsidR="00FD6063" w:rsidRPr="006C42BE" w:rsidRDefault="00FD6063" w:rsidP="001E4181">
      <w:pPr>
        <w:spacing w:line="360" w:lineRule="auto"/>
        <w:rPr>
          <w:rFonts w:ascii="Times New Roman" w:hAnsi="Times New Roman" w:cs="Times New Roman"/>
          <w:lang w:val="en-GB"/>
        </w:rPr>
      </w:pPr>
      <w:r w:rsidRPr="006C42BE">
        <w:rPr>
          <w:rFonts w:ascii="Times New Roman" w:hAnsi="Times New Roman" w:cs="Times New Roman"/>
          <w:lang w:val="en-GB"/>
        </w:rPr>
        <w:t xml:space="preserve">Esquivel, V. (2017), Efficiency and gender equality in growth theory: simply add-ons?, in  </w:t>
      </w:r>
      <w:r w:rsidRPr="006C42BE">
        <w:rPr>
          <w:rFonts w:ascii="Times New Roman" w:hAnsi="Times New Roman" w:cs="Times New Roman"/>
          <w:i/>
          <w:lang w:val="en-GB"/>
        </w:rPr>
        <w:t xml:space="preserve">Canadian Journal of Development Studies, </w:t>
      </w:r>
      <w:r w:rsidRPr="006C42BE">
        <w:rPr>
          <w:rFonts w:ascii="Times New Roman" w:hAnsi="Times New Roman" w:cs="Times New Roman"/>
          <w:lang w:val="en-GB"/>
        </w:rPr>
        <w:t>Nov. 2017 (version digital).</w:t>
      </w:r>
    </w:p>
    <w:p w14:paraId="2D8A6990"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lang w:val="en-GB"/>
        </w:rPr>
        <w:t>Garay, C</w:t>
      </w:r>
      <w:r w:rsidR="000052F5" w:rsidRPr="006C42BE">
        <w:rPr>
          <w:rFonts w:ascii="Times New Roman" w:hAnsi="Times New Roman" w:cs="Times New Roman"/>
          <w:lang w:val="en-GB"/>
        </w:rPr>
        <w:t>.</w:t>
      </w:r>
      <w:r w:rsidRPr="006C42BE">
        <w:rPr>
          <w:rFonts w:ascii="Times New Roman" w:hAnsi="Times New Roman" w:cs="Times New Roman"/>
          <w:lang w:val="en-GB"/>
        </w:rPr>
        <w:t xml:space="preserve"> (2010). </w:t>
      </w:r>
      <w:r w:rsidRPr="006C42BE">
        <w:rPr>
          <w:rFonts w:ascii="Times New Roman" w:hAnsi="Times New Roman" w:cs="Times New Roman"/>
          <w:i/>
          <w:lang w:val="en-GB"/>
        </w:rPr>
        <w:t xml:space="preserve">Including Outsiders.Social Policy Expansion in Latin America </w:t>
      </w:r>
      <w:r w:rsidRPr="006C42BE">
        <w:rPr>
          <w:rFonts w:ascii="Times New Roman" w:hAnsi="Times New Roman" w:cs="Times New Roman"/>
          <w:lang w:val="en-GB"/>
        </w:rPr>
        <w:t xml:space="preserve">(Tesis de Doctorado). </w:t>
      </w:r>
      <w:r w:rsidRPr="006C42BE">
        <w:rPr>
          <w:rFonts w:ascii="Times New Roman" w:hAnsi="Times New Roman" w:cs="Times New Roman"/>
        </w:rPr>
        <w:t xml:space="preserve">University of California, Berkeley. </w:t>
      </w:r>
    </w:p>
    <w:p w14:paraId="32007C60" w14:textId="77777777"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Gluz, N., Diyarian y Rodríguez (2018), Las políticas socioeducativas del niv</w:t>
      </w:r>
      <w:r w:rsidR="00945350" w:rsidRPr="006C42BE">
        <w:rPr>
          <w:rFonts w:ascii="Times New Roman" w:hAnsi="Times New Roman" w:cs="Times New Roman"/>
        </w:rPr>
        <w:t>el secundario a nivel nacional, e</w:t>
      </w:r>
      <w:r w:rsidRPr="006C42BE">
        <w:rPr>
          <w:rFonts w:ascii="Times New Roman" w:hAnsi="Times New Roman" w:cs="Times New Roman"/>
        </w:rPr>
        <w:t>n VII Congreso Nacional de Investigación Educativa. Universidad Nacional de Comahue.</w:t>
      </w:r>
    </w:p>
    <w:p w14:paraId="57B03827"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Golbert, Laura (2010). </w:t>
      </w:r>
      <w:r w:rsidRPr="006C42BE">
        <w:rPr>
          <w:rFonts w:ascii="Times New Roman" w:hAnsi="Times New Roman" w:cs="Times New Roman"/>
          <w:i/>
        </w:rPr>
        <w:t xml:space="preserve">De la Sociedad de Beneficencia a los derechos sociales. </w:t>
      </w:r>
      <w:r w:rsidRPr="006C42BE">
        <w:rPr>
          <w:rFonts w:ascii="Times New Roman" w:hAnsi="Times New Roman" w:cs="Times New Roman"/>
        </w:rPr>
        <w:t>Buenos Aires. Ministerio y Seguridad Social.</w:t>
      </w:r>
    </w:p>
    <w:p w14:paraId="1E6722BC" w14:textId="77777777" w:rsidR="00FD6063" w:rsidRPr="006C42BE" w:rsidRDefault="00FD6063" w:rsidP="001E4181">
      <w:pPr>
        <w:spacing w:after="0" w:line="360" w:lineRule="auto"/>
        <w:rPr>
          <w:rFonts w:ascii="Times New Roman" w:hAnsi="Times New Roman" w:cs="Times New Roman"/>
        </w:rPr>
      </w:pPr>
    </w:p>
    <w:p w14:paraId="75AC55B8"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(2003) </w:t>
      </w:r>
      <w:r w:rsidRPr="006C42BE">
        <w:rPr>
          <w:rFonts w:ascii="Times New Roman" w:hAnsi="Times New Roman" w:cs="Times New Roman"/>
          <w:i/>
        </w:rPr>
        <w:t xml:space="preserve">Políticas y problemas sociales. La otra década infame. </w:t>
      </w:r>
      <w:r w:rsidRPr="006C42BE">
        <w:rPr>
          <w:rFonts w:ascii="Times New Roman" w:hAnsi="Times New Roman" w:cs="Times New Roman"/>
        </w:rPr>
        <w:t xml:space="preserve">Buenos Aires, Argentina: Espacio Editorial. </w:t>
      </w:r>
    </w:p>
    <w:p w14:paraId="6F61625C" w14:textId="77777777" w:rsidR="00FD6063" w:rsidRPr="006C42BE" w:rsidRDefault="00FD6063" w:rsidP="001E4181">
      <w:pPr>
        <w:spacing w:after="0" w:line="360" w:lineRule="auto"/>
        <w:rPr>
          <w:rFonts w:ascii="Times New Roman" w:hAnsi="Times New Roman" w:cs="Times New Roman"/>
        </w:rPr>
      </w:pPr>
    </w:p>
    <w:p w14:paraId="060760A2"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(2016), Un ciclo de reedición del Estado Social en Argentina, en </w:t>
      </w:r>
      <w:r w:rsidRPr="006C42BE">
        <w:rPr>
          <w:rFonts w:ascii="Times New Roman" w:hAnsi="Times New Roman" w:cs="Times New Roman"/>
          <w:i/>
        </w:rPr>
        <w:t>Revista Diálogos</w:t>
      </w:r>
      <w:r w:rsidRPr="006C42BE">
        <w:rPr>
          <w:rFonts w:ascii="Times New Roman" w:hAnsi="Times New Roman" w:cs="Times New Roman"/>
        </w:rPr>
        <w:t>, Volumen 17. Escuela de Historia, Universidad de Costa Rica.</w:t>
      </w:r>
    </w:p>
    <w:p w14:paraId="6412C80B" w14:textId="77777777" w:rsidR="00C23BED" w:rsidRPr="006C42BE" w:rsidRDefault="00C23BED" w:rsidP="001E4181">
      <w:pPr>
        <w:spacing w:after="0" w:line="360" w:lineRule="auto"/>
        <w:rPr>
          <w:rFonts w:ascii="Times New Roman" w:hAnsi="Times New Roman" w:cs="Times New Roman"/>
        </w:rPr>
      </w:pPr>
    </w:p>
    <w:p w14:paraId="3F9139BE" w14:textId="77777777" w:rsidR="00C23BED" w:rsidRPr="006C42BE" w:rsidRDefault="00C93A2D" w:rsidP="001E4181">
      <w:pPr>
        <w:spacing w:after="0" w:line="360" w:lineRule="auto"/>
        <w:rPr>
          <w:rFonts w:ascii="Times New Roman" w:eastAsia="Calibri" w:hAnsi="Times New Roman" w:cs="Times New Roman"/>
          <w:lang w:val="es-MX"/>
        </w:rPr>
      </w:pPr>
      <w:r w:rsidRPr="006C42BE">
        <w:rPr>
          <w:rFonts w:ascii="Times New Roman" w:hAnsi="Times New Roman" w:cs="Times New Roman"/>
        </w:rPr>
        <w:t xml:space="preserve">Hintze, S. y </w:t>
      </w:r>
      <w:r w:rsidR="000052F5" w:rsidRPr="006C42BE">
        <w:rPr>
          <w:rFonts w:ascii="Times New Roman" w:hAnsi="Times New Roman" w:cs="Times New Roman"/>
        </w:rPr>
        <w:t>C</w:t>
      </w:r>
      <w:r w:rsidRPr="006C42BE">
        <w:rPr>
          <w:rFonts w:ascii="Times New Roman" w:hAnsi="Times New Roman" w:cs="Times New Roman"/>
        </w:rPr>
        <w:t xml:space="preserve">osta, M. (2014), Capacidad protectoria de la AUH, en </w:t>
      </w:r>
      <w:r w:rsidRPr="006C42BE">
        <w:rPr>
          <w:rFonts w:ascii="Times New Roman" w:eastAsia="Calibri" w:hAnsi="Times New Roman" w:cs="Times New Roman"/>
          <w:lang w:val="es-MX"/>
        </w:rPr>
        <w:t xml:space="preserve">Danani, C. y Hintze, S. (coord) </w:t>
      </w:r>
      <w:r w:rsidRPr="006C42BE">
        <w:rPr>
          <w:rFonts w:ascii="Times New Roman" w:eastAsia="Calibri" w:hAnsi="Times New Roman" w:cs="Times New Roman"/>
          <w:i/>
          <w:lang w:val="es-MX"/>
        </w:rPr>
        <w:t>Protecciones y desprotecciones (II)- Problemas y debates de la seguridad social.</w:t>
      </w:r>
      <w:r w:rsidRPr="006C42BE">
        <w:rPr>
          <w:rFonts w:ascii="Times New Roman" w:eastAsia="Calibri" w:hAnsi="Times New Roman" w:cs="Times New Roman"/>
          <w:lang w:val="es-MX"/>
        </w:rPr>
        <w:t xml:space="preserve"> Los Polvorines: Universidad Nacional General Sarmiento</w:t>
      </w:r>
    </w:p>
    <w:p w14:paraId="41610F81" w14:textId="77777777" w:rsidR="00071251" w:rsidRPr="006C42BE" w:rsidRDefault="00071251" w:rsidP="001E4181">
      <w:pPr>
        <w:spacing w:after="0" w:line="360" w:lineRule="auto"/>
        <w:rPr>
          <w:rFonts w:ascii="Times New Roman" w:eastAsia="Calibri" w:hAnsi="Times New Roman" w:cs="Times New Roman"/>
          <w:lang w:val="es-MX"/>
        </w:rPr>
      </w:pPr>
    </w:p>
    <w:p w14:paraId="439CADC4" w14:textId="77777777" w:rsidR="00071251" w:rsidRPr="006C42BE" w:rsidRDefault="00071251" w:rsidP="001E4181">
      <w:pPr>
        <w:spacing w:after="0" w:line="360" w:lineRule="auto"/>
        <w:rPr>
          <w:rFonts w:ascii="Times New Roman" w:hAnsi="Times New Roman" w:cs="Times New Roman"/>
        </w:rPr>
      </w:pPr>
      <w:r w:rsidRPr="006C42BE">
        <w:rPr>
          <w:rFonts w:ascii="Times New Roman" w:eastAsia="Calibri" w:hAnsi="Times New Roman" w:cs="Times New Roman"/>
          <w:lang w:val="es-MX"/>
        </w:rPr>
        <w:t>Kessler, G. (2014), Controversias sobre la desigualdad. Buenos Aires: Fondo de Cultura Económica.</w:t>
      </w:r>
    </w:p>
    <w:p w14:paraId="6CC3133D" w14:textId="77777777" w:rsidR="00FD6063" w:rsidRPr="006C42BE" w:rsidRDefault="00FD6063" w:rsidP="001E4181">
      <w:pPr>
        <w:spacing w:after="0" w:line="360" w:lineRule="auto"/>
        <w:rPr>
          <w:rFonts w:ascii="Times New Roman" w:hAnsi="Times New Roman" w:cs="Times New Roman"/>
        </w:rPr>
      </w:pPr>
    </w:p>
    <w:p w14:paraId="12C5FF9A" w14:textId="77777777" w:rsidR="00FD6063" w:rsidRPr="006C42BE" w:rsidRDefault="00FD6063" w:rsidP="001E4181">
      <w:pPr>
        <w:spacing w:after="0" w:line="360" w:lineRule="auto"/>
        <w:rPr>
          <w:rFonts w:ascii="Times New Roman" w:hAnsi="Times New Roman" w:cs="Times New Roman"/>
        </w:rPr>
      </w:pPr>
      <w:r w:rsidRPr="006C42BE">
        <w:rPr>
          <w:rFonts w:ascii="Times New Roman" w:eastAsia="Arial" w:hAnsi="Times New Roman" w:cs="Times New Roman"/>
        </w:rPr>
        <w:t xml:space="preserve">Lavopa, Alejandro y Graña, Juan (2008), </w:t>
      </w:r>
      <w:r w:rsidRPr="006C42BE">
        <w:rPr>
          <w:rFonts w:ascii="Times New Roman" w:eastAsia="Arial" w:hAnsi="Times New Roman" w:cs="Times New Roman"/>
          <w:i/>
        </w:rPr>
        <w:t>15 años de EPH, una serie empalme - Documento de Trabajo Nª 11</w:t>
      </w:r>
      <w:r w:rsidRPr="006C42BE">
        <w:rPr>
          <w:rFonts w:ascii="Times New Roman" w:eastAsia="Arial" w:hAnsi="Times New Roman" w:cs="Times New Roman"/>
        </w:rPr>
        <w:t xml:space="preserve"> - Ceped</w:t>
      </w:r>
      <w:r w:rsidRPr="006C42BE">
        <w:rPr>
          <w:rFonts w:ascii="Times New Roman" w:eastAsia="Arial" w:hAnsi="Times New Roman" w:cs="Times New Roman"/>
          <w:i/>
        </w:rPr>
        <w:t>.</w:t>
      </w:r>
      <w:r w:rsidRPr="006C42BE">
        <w:rPr>
          <w:rFonts w:ascii="Times New Roman" w:eastAsia="Arial" w:hAnsi="Times New Roman" w:cs="Times New Roman"/>
        </w:rPr>
        <w:t xml:space="preserve"> Buenos Aires.</w:t>
      </w:r>
    </w:p>
    <w:p w14:paraId="50EB74E9" w14:textId="77777777" w:rsidR="00FD6063" w:rsidRPr="006C42BE" w:rsidRDefault="00FD6063" w:rsidP="001E4181">
      <w:pPr>
        <w:spacing w:after="0" w:line="360" w:lineRule="auto"/>
        <w:rPr>
          <w:rFonts w:ascii="Times New Roman" w:hAnsi="Times New Roman" w:cs="Times New Roman"/>
        </w:rPr>
      </w:pPr>
    </w:p>
    <w:p w14:paraId="73F0F0CC"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Lindenboim, Javier (2010), Ajuste y pobreza a fines del siglo XX, en Torrado, S (dir.) </w:t>
      </w:r>
      <w:r w:rsidRPr="006C42BE">
        <w:rPr>
          <w:rFonts w:ascii="Times New Roman" w:hAnsi="Times New Roman" w:cs="Times New Roman"/>
          <w:i/>
        </w:rPr>
        <w:t>El costo social del ajuste.</w:t>
      </w:r>
      <w:r w:rsidR="00945350" w:rsidRPr="006C42BE">
        <w:rPr>
          <w:rFonts w:ascii="Times New Roman" w:hAnsi="Times New Roman" w:cs="Times New Roman"/>
        </w:rPr>
        <w:t xml:space="preserve"> Buenos Aires</w:t>
      </w:r>
      <w:r w:rsidRPr="006C42BE">
        <w:rPr>
          <w:rFonts w:ascii="Times New Roman" w:hAnsi="Times New Roman" w:cs="Times New Roman"/>
        </w:rPr>
        <w:t>: Edhasa.</w:t>
      </w:r>
    </w:p>
    <w:p w14:paraId="7D52C05C" w14:textId="77777777" w:rsidR="00FD6063" w:rsidRPr="006C42BE" w:rsidRDefault="00FD6063" w:rsidP="001E4181">
      <w:pPr>
        <w:spacing w:after="0" w:line="360" w:lineRule="auto"/>
        <w:rPr>
          <w:rFonts w:ascii="Times New Roman" w:hAnsi="Times New Roman" w:cs="Times New Roman"/>
        </w:rPr>
      </w:pPr>
    </w:p>
    <w:p w14:paraId="6AAA8C2B"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Luna, J. y Filgueira, F. (2009) The Left turns as Multiple Paradigmatic Crises, in </w:t>
      </w:r>
      <w:r w:rsidRPr="006C42BE">
        <w:rPr>
          <w:rFonts w:ascii="Times New Roman" w:hAnsi="Times New Roman" w:cs="Times New Roman"/>
          <w:i/>
        </w:rPr>
        <w:t xml:space="preserve">Third World Quarterly, </w:t>
      </w:r>
      <w:r w:rsidRPr="006C42BE">
        <w:rPr>
          <w:rFonts w:ascii="Times New Roman" w:hAnsi="Times New Roman" w:cs="Times New Roman"/>
        </w:rPr>
        <w:t xml:space="preserve">30, 2. </w:t>
      </w:r>
    </w:p>
    <w:p w14:paraId="2BD04C7A" w14:textId="77777777" w:rsidR="00FD6063" w:rsidRPr="006C42BE" w:rsidRDefault="00FD6063" w:rsidP="001E4181">
      <w:pPr>
        <w:spacing w:after="0" w:line="360" w:lineRule="auto"/>
        <w:rPr>
          <w:rFonts w:ascii="Times New Roman" w:hAnsi="Times New Roman" w:cs="Times New Roman"/>
        </w:rPr>
      </w:pPr>
    </w:p>
    <w:p w14:paraId="7112ABA6"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Marshall, A. (2000): Efectos sociales y económicos de la legislación del trabajo, en de la Garza, E. (coord) </w:t>
      </w:r>
      <w:r w:rsidRPr="006C42BE">
        <w:rPr>
          <w:rFonts w:ascii="Times New Roman" w:hAnsi="Times New Roman" w:cs="Times New Roman"/>
          <w:i/>
        </w:rPr>
        <w:t xml:space="preserve">Tratado latinoamericano de sociología del trabajo. </w:t>
      </w:r>
      <w:r w:rsidRPr="006C42BE">
        <w:rPr>
          <w:rFonts w:ascii="Times New Roman" w:hAnsi="Times New Roman" w:cs="Times New Roman"/>
        </w:rPr>
        <w:t>México, FCE.</w:t>
      </w:r>
    </w:p>
    <w:p w14:paraId="744FFC82" w14:textId="77777777" w:rsidR="00071251" w:rsidRPr="006C42BE" w:rsidRDefault="00071251" w:rsidP="001E4181">
      <w:pPr>
        <w:spacing w:after="0" w:line="360" w:lineRule="auto"/>
        <w:rPr>
          <w:rFonts w:ascii="Times New Roman" w:hAnsi="Times New Roman" w:cs="Times New Roman"/>
        </w:rPr>
      </w:pPr>
    </w:p>
    <w:p w14:paraId="3B96F526" w14:textId="77777777" w:rsidR="00071251" w:rsidRPr="006C42BE" w:rsidRDefault="00071251" w:rsidP="001E4181">
      <w:pPr>
        <w:spacing w:after="0" w:line="360" w:lineRule="auto"/>
        <w:rPr>
          <w:rFonts w:ascii="Times New Roman" w:hAnsi="Times New Roman" w:cs="Times New Roman"/>
        </w:rPr>
      </w:pPr>
      <w:r w:rsidRPr="006C42BE">
        <w:rPr>
          <w:rFonts w:ascii="Times New Roman" w:hAnsi="Times New Roman" w:cs="Times New Roman"/>
        </w:rPr>
        <w:t xml:space="preserve">Mostajo, </w:t>
      </w:r>
      <w:r w:rsidR="00A42519" w:rsidRPr="006C42BE">
        <w:rPr>
          <w:rFonts w:ascii="Times New Roman" w:hAnsi="Times New Roman" w:cs="Times New Roman"/>
        </w:rPr>
        <w:t>R. (2000) Gasto Social y redistribución del ingreso. Santiago: CEPAL.</w:t>
      </w:r>
    </w:p>
    <w:p w14:paraId="29477844"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 </w:t>
      </w:r>
    </w:p>
    <w:p w14:paraId="35DD8ACA"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OIT (2015), </w:t>
      </w:r>
      <w:r w:rsidRPr="006C42BE">
        <w:rPr>
          <w:rFonts w:ascii="Times New Roman" w:hAnsi="Times New Roman" w:cs="Times New Roman"/>
          <w:i/>
        </w:rPr>
        <w:t xml:space="preserve">Desempeño y financiamiento de la protección social en Argentina. </w:t>
      </w:r>
      <w:r w:rsidRPr="006C42BE">
        <w:rPr>
          <w:rFonts w:ascii="Times New Roman" w:hAnsi="Times New Roman" w:cs="Times New Roman"/>
        </w:rPr>
        <w:t>Buenos Aires: Oficina de País para OIT.</w:t>
      </w:r>
    </w:p>
    <w:p w14:paraId="0F22492B" w14:textId="77777777" w:rsidR="00FD6063" w:rsidRPr="006C42BE" w:rsidRDefault="00FD6063" w:rsidP="001E4181">
      <w:pPr>
        <w:spacing w:after="0" w:line="360" w:lineRule="auto"/>
        <w:rPr>
          <w:rFonts w:ascii="Times New Roman" w:hAnsi="Times New Roman" w:cs="Times New Roman"/>
        </w:rPr>
      </w:pPr>
    </w:p>
    <w:p w14:paraId="315DABAC"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Rofman, R.; Grushka, C. y Chebez, V. (1999), </w:t>
      </w:r>
      <w:r w:rsidRPr="006C42BE">
        <w:rPr>
          <w:rFonts w:ascii="Times New Roman" w:hAnsi="Times New Roman" w:cs="Times New Roman"/>
          <w:lang w:val="es-ES"/>
        </w:rPr>
        <w:t>El Sistema de Asignacion</w:t>
      </w:r>
      <w:r w:rsidR="00945350" w:rsidRPr="006C42BE">
        <w:rPr>
          <w:rFonts w:ascii="Times New Roman" w:hAnsi="Times New Roman" w:cs="Times New Roman"/>
          <w:lang w:val="es-ES"/>
        </w:rPr>
        <w:t xml:space="preserve">es Familiares como herramienta </w:t>
      </w:r>
      <w:r w:rsidRPr="006C42BE">
        <w:rPr>
          <w:rFonts w:ascii="Times New Roman" w:hAnsi="Times New Roman" w:cs="Times New Roman"/>
          <w:lang w:val="es-ES"/>
        </w:rPr>
        <w:t xml:space="preserve">en VI Congreso Internacional del CLAD sobre Reforma del Estado y Administración Pública. </w:t>
      </w:r>
      <w:r w:rsidRPr="006C42BE">
        <w:rPr>
          <w:rFonts w:ascii="Times New Roman" w:hAnsi="Times New Roman" w:cs="Times New Roman"/>
        </w:rPr>
        <w:t>Buenos Aires, 5-9 noviembre 2001.</w:t>
      </w:r>
    </w:p>
    <w:p w14:paraId="718FB009" w14:textId="77777777" w:rsidR="00945350" w:rsidRPr="006C42BE" w:rsidRDefault="00945350" w:rsidP="001E4181">
      <w:pPr>
        <w:spacing w:after="0" w:line="360" w:lineRule="auto"/>
        <w:rPr>
          <w:rFonts w:ascii="Times New Roman" w:hAnsi="Times New Roman" w:cs="Times New Roman"/>
        </w:rPr>
      </w:pPr>
    </w:p>
    <w:p w14:paraId="30613F35" w14:textId="77777777" w:rsidR="00FD6063" w:rsidRPr="006C42BE" w:rsidRDefault="00945350" w:rsidP="001E4181">
      <w:pPr>
        <w:spacing w:after="0" w:line="360" w:lineRule="auto"/>
        <w:rPr>
          <w:rFonts w:ascii="Times New Roman" w:hAnsi="Times New Roman" w:cs="Times New Roman"/>
        </w:rPr>
      </w:pPr>
      <w:r w:rsidRPr="006C42BE">
        <w:rPr>
          <w:rFonts w:ascii="Times New Roman" w:hAnsi="Times New Roman" w:cs="Times New Roman"/>
        </w:rPr>
        <w:t>Rofman, R. y Oliveri, M. (2011) La cobertura de los sistemas previsionales. Buenos Aires: Banco Mundial.</w:t>
      </w:r>
    </w:p>
    <w:p w14:paraId="1DC2AA80" w14:textId="77777777" w:rsidR="00945350" w:rsidRPr="006C42BE" w:rsidRDefault="00945350" w:rsidP="001E4181">
      <w:pPr>
        <w:spacing w:after="0" w:line="360" w:lineRule="auto"/>
        <w:rPr>
          <w:rFonts w:ascii="Times New Roman" w:hAnsi="Times New Roman" w:cs="Times New Roman"/>
        </w:rPr>
      </w:pPr>
    </w:p>
    <w:p w14:paraId="5013A699" w14:textId="77777777"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Soldano, D. y Andrenacci, L. (2006), Aproximación a la teoría de la política social a partir del caso argentino, en Andrenacci, L. (comp) </w:t>
      </w:r>
      <w:r w:rsidRPr="006C42BE">
        <w:rPr>
          <w:rFonts w:ascii="Times New Roman" w:hAnsi="Times New Roman" w:cs="Times New Roman"/>
          <w:i/>
        </w:rPr>
        <w:t xml:space="preserve">Problemas de política social en la Argentina contemporánea. </w:t>
      </w:r>
      <w:r w:rsidRPr="006C42BE">
        <w:rPr>
          <w:rFonts w:ascii="Times New Roman" w:hAnsi="Times New Roman" w:cs="Times New Roman"/>
        </w:rPr>
        <w:t>Buenos Aires: UNGS-Prometeo (pp 17-79).</w:t>
      </w:r>
    </w:p>
    <w:p w14:paraId="1CEB1AF8" w14:textId="77777777" w:rsidR="001441F6" w:rsidRDefault="001441F6" w:rsidP="001E4181">
      <w:pPr>
        <w:sectPr w:rsidR="001441F6" w:rsidSect="00F81417">
          <w:headerReference w:type="even" r:id="rId10"/>
          <w:headerReference w:type="default" r:id="rId11"/>
          <w:footerReference w:type="even" r:id="rId12"/>
          <w:footerReference w:type="default" r:id="rId13"/>
          <w:headerReference w:type="first" r:id="rId14"/>
          <w:footerReference w:type="first" r:id="rId15"/>
          <w:pgSz w:w="11907" w:h="16839" w:code="9"/>
          <w:pgMar w:top="1417" w:right="1701" w:bottom="1417" w:left="1701" w:header="708" w:footer="708" w:gutter="0"/>
          <w:cols w:space="708"/>
          <w:docGrid w:linePitch="360"/>
        </w:sectPr>
      </w:pPr>
      <w:r>
        <w:br w:type="page"/>
      </w:r>
    </w:p>
    <w:p w14:paraId="02765857" w14:textId="77777777" w:rsidR="001441F6" w:rsidRDefault="001441F6" w:rsidP="001441F6">
      <w:pPr>
        <w:rPr>
          <w:sz w:val="18"/>
          <w:szCs w:val="18"/>
        </w:rPr>
      </w:pPr>
      <w:r>
        <w:rPr>
          <w:sz w:val="18"/>
          <w:szCs w:val="18"/>
        </w:rPr>
        <w:lastRenderedPageBreak/>
        <w:t>CUADRO 1 –Condiciones institucionales del perfil de protección y bienestar por ministerios/áreas sociales de actuación. Argentina, 2002-2015</w:t>
      </w:r>
    </w:p>
    <w:tbl>
      <w:tblPr>
        <w:tblStyle w:val="Tablaconcuadrcula"/>
        <w:tblW w:w="0" w:type="auto"/>
        <w:tblInd w:w="-176" w:type="dxa"/>
        <w:tblLook w:val="04A0" w:firstRow="1" w:lastRow="0" w:firstColumn="1" w:lastColumn="0" w:noHBand="0" w:noVBand="1"/>
      </w:tblPr>
      <w:tblGrid>
        <w:gridCol w:w="2156"/>
        <w:gridCol w:w="1547"/>
        <w:gridCol w:w="1952"/>
        <w:gridCol w:w="1898"/>
        <w:gridCol w:w="1808"/>
        <w:gridCol w:w="1815"/>
        <w:gridCol w:w="1808"/>
        <w:gridCol w:w="1808"/>
      </w:tblGrid>
      <w:tr w:rsidR="001441F6" w14:paraId="18ED0DB3" w14:textId="77777777" w:rsidTr="00252D1B">
        <w:tc>
          <w:tcPr>
            <w:tcW w:w="2156" w:type="dxa"/>
            <w:vMerge w:val="restart"/>
            <w:shd w:val="clear" w:color="auto" w:fill="D9D9D9" w:themeFill="background1" w:themeFillShade="D9"/>
          </w:tcPr>
          <w:p w14:paraId="1127B695" w14:textId="77777777" w:rsidR="001441F6" w:rsidRPr="00365610" w:rsidRDefault="001441F6" w:rsidP="00252D1B">
            <w:pPr>
              <w:rPr>
                <w:b/>
                <w:sz w:val="18"/>
                <w:szCs w:val="18"/>
              </w:rPr>
            </w:pPr>
            <w:r w:rsidRPr="00365610">
              <w:rPr>
                <w:b/>
                <w:sz w:val="18"/>
                <w:szCs w:val="18"/>
              </w:rPr>
              <w:t>Sector</w:t>
            </w:r>
          </w:p>
          <w:p w14:paraId="3B9435B8" w14:textId="77777777" w:rsidR="001441F6" w:rsidRDefault="001441F6" w:rsidP="00252D1B">
            <w:pPr>
              <w:rPr>
                <w:b/>
                <w:sz w:val="16"/>
                <w:szCs w:val="16"/>
              </w:rPr>
            </w:pPr>
          </w:p>
          <w:p w14:paraId="3FDD982E" w14:textId="77777777" w:rsidR="001441F6" w:rsidRPr="00365610" w:rsidRDefault="001441F6" w:rsidP="00252D1B">
            <w:pPr>
              <w:rPr>
                <w:b/>
                <w:sz w:val="18"/>
                <w:szCs w:val="18"/>
              </w:rPr>
            </w:pPr>
            <w:r w:rsidRPr="009C118A">
              <w:rPr>
                <w:b/>
                <w:sz w:val="16"/>
                <w:szCs w:val="16"/>
              </w:rPr>
              <w:t>Condic</w:t>
            </w:r>
            <w:r>
              <w:rPr>
                <w:b/>
                <w:sz w:val="16"/>
                <w:szCs w:val="16"/>
              </w:rPr>
              <w:t>.</w:t>
            </w:r>
            <w:r w:rsidRPr="009C118A">
              <w:rPr>
                <w:b/>
                <w:sz w:val="16"/>
                <w:szCs w:val="16"/>
              </w:rPr>
              <w:t xml:space="preserve"> Institucionales</w:t>
            </w:r>
          </w:p>
        </w:tc>
        <w:tc>
          <w:tcPr>
            <w:tcW w:w="1547" w:type="dxa"/>
            <w:vMerge w:val="restart"/>
            <w:shd w:val="clear" w:color="auto" w:fill="D9D9D9" w:themeFill="background1" w:themeFillShade="D9"/>
          </w:tcPr>
          <w:p w14:paraId="3323E95D" w14:textId="77777777" w:rsidR="001441F6" w:rsidRDefault="001441F6" w:rsidP="00252D1B">
            <w:pPr>
              <w:rPr>
                <w:b/>
                <w:sz w:val="18"/>
                <w:szCs w:val="18"/>
              </w:rPr>
            </w:pPr>
          </w:p>
          <w:p w14:paraId="03BC67A9" w14:textId="77777777" w:rsidR="001441F6" w:rsidRDefault="001441F6" w:rsidP="00252D1B">
            <w:pPr>
              <w:rPr>
                <w:sz w:val="18"/>
                <w:szCs w:val="18"/>
              </w:rPr>
            </w:pPr>
            <w:r w:rsidRPr="00784C5D">
              <w:rPr>
                <w:b/>
                <w:sz w:val="18"/>
                <w:szCs w:val="18"/>
              </w:rPr>
              <w:t>Trabajo</w:t>
            </w:r>
          </w:p>
          <w:p w14:paraId="6DE16DD2" w14:textId="77777777" w:rsidR="001441F6" w:rsidRDefault="001441F6" w:rsidP="00252D1B">
            <w:pPr>
              <w:rPr>
                <w:b/>
                <w:sz w:val="18"/>
                <w:szCs w:val="18"/>
              </w:rPr>
            </w:pPr>
          </w:p>
          <w:p w14:paraId="7C3F10AA" w14:textId="77777777" w:rsidR="001441F6" w:rsidRDefault="001441F6" w:rsidP="00252D1B">
            <w:pPr>
              <w:rPr>
                <w:sz w:val="18"/>
                <w:szCs w:val="18"/>
              </w:rPr>
            </w:pPr>
          </w:p>
        </w:tc>
        <w:tc>
          <w:tcPr>
            <w:tcW w:w="1952" w:type="dxa"/>
            <w:shd w:val="clear" w:color="auto" w:fill="D9D9D9" w:themeFill="background1" w:themeFillShade="D9"/>
          </w:tcPr>
          <w:p w14:paraId="1A6F41DF" w14:textId="77777777" w:rsidR="001441F6" w:rsidRDefault="001441F6" w:rsidP="00252D1B">
            <w:pPr>
              <w:rPr>
                <w:sz w:val="18"/>
                <w:szCs w:val="18"/>
              </w:rPr>
            </w:pPr>
          </w:p>
        </w:tc>
        <w:tc>
          <w:tcPr>
            <w:tcW w:w="1898" w:type="dxa"/>
            <w:shd w:val="clear" w:color="auto" w:fill="D9D9D9" w:themeFill="background1" w:themeFillShade="D9"/>
          </w:tcPr>
          <w:p w14:paraId="393EC215" w14:textId="77777777" w:rsidR="001441F6" w:rsidRDefault="001441F6" w:rsidP="00252D1B">
            <w:pPr>
              <w:rPr>
                <w:b/>
                <w:sz w:val="18"/>
                <w:szCs w:val="18"/>
              </w:rPr>
            </w:pPr>
          </w:p>
          <w:p w14:paraId="37A870B4" w14:textId="77777777" w:rsidR="001441F6" w:rsidRDefault="001441F6" w:rsidP="00252D1B">
            <w:pPr>
              <w:rPr>
                <w:sz w:val="18"/>
                <w:szCs w:val="18"/>
              </w:rPr>
            </w:pPr>
            <w:r w:rsidRPr="00784C5D">
              <w:rPr>
                <w:b/>
                <w:sz w:val="18"/>
                <w:szCs w:val="18"/>
              </w:rPr>
              <w:t>Seguridad Social</w:t>
            </w:r>
          </w:p>
        </w:tc>
        <w:tc>
          <w:tcPr>
            <w:tcW w:w="1808" w:type="dxa"/>
            <w:shd w:val="clear" w:color="auto" w:fill="D9D9D9" w:themeFill="background1" w:themeFillShade="D9"/>
          </w:tcPr>
          <w:p w14:paraId="53F87165" w14:textId="77777777" w:rsidR="001441F6" w:rsidRDefault="001441F6" w:rsidP="00252D1B">
            <w:pPr>
              <w:rPr>
                <w:sz w:val="18"/>
                <w:szCs w:val="18"/>
              </w:rPr>
            </w:pPr>
          </w:p>
        </w:tc>
        <w:tc>
          <w:tcPr>
            <w:tcW w:w="1815" w:type="dxa"/>
            <w:vMerge w:val="restart"/>
            <w:shd w:val="clear" w:color="auto" w:fill="D9D9D9" w:themeFill="background1" w:themeFillShade="D9"/>
          </w:tcPr>
          <w:p w14:paraId="7D231EE2" w14:textId="77777777" w:rsidR="001441F6" w:rsidRDefault="001441F6" w:rsidP="00252D1B">
            <w:pPr>
              <w:jc w:val="center"/>
              <w:rPr>
                <w:b/>
                <w:sz w:val="18"/>
                <w:szCs w:val="18"/>
              </w:rPr>
            </w:pPr>
          </w:p>
          <w:p w14:paraId="4764B338" w14:textId="77777777" w:rsidR="001441F6" w:rsidRDefault="001441F6" w:rsidP="00252D1B">
            <w:pPr>
              <w:jc w:val="center"/>
              <w:rPr>
                <w:sz w:val="18"/>
                <w:szCs w:val="18"/>
              </w:rPr>
            </w:pPr>
            <w:r w:rsidRPr="001D33BA">
              <w:rPr>
                <w:b/>
                <w:sz w:val="18"/>
                <w:szCs w:val="18"/>
              </w:rPr>
              <w:t>Salud</w:t>
            </w:r>
          </w:p>
        </w:tc>
        <w:tc>
          <w:tcPr>
            <w:tcW w:w="1808" w:type="dxa"/>
            <w:vMerge w:val="restart"/>
            <w:shd w:val="clear" w:color="auto" w:fill="D9D9D9" w:themeFill="background1" w:themeFillShade="D9"/>
          </w:tcPr>
          <w:p w14:paraId="7D3C5391" w14:textId="77777777" w:rsidR="001441F6" w:rsidRDefault="001441F6" w:rsidP="00252D1B">
            <w:pPr>
              <w:rPr>
                <w:sz w:val="18"/>
                <w:szCs w:val="18"/>
              </w:rPr>
            </w:pPr>
          </w:p>
          <w:p w14:paraId="0E5ED4EB" w14:textId="77777777" w:rsidR="001441F6" w:rsidRPr="001D33BA" w:rsidRDefault="001441F6" w:rsidP="00252D1B">
            <w:pPr>
              <w:jc w:val="center"/>
              <w:rPr>
                <w:b/>
                <w:sz w:val="18"/>
                <w:szCs w:val="18"/>
              </w:rPr>
            </w:pPr>
            <w:r w:rsidRPr="001D33BA">
              <w:rPr>
                <w:b/>
                <w:sz w:val="18"/>
                <w:szCs w:val="18"/>
              </w:rPr>
              <w:t>Educación</w:t>
            </w:r>
          </w:p>
        </w:tc>
        <w:tc>
          <w:tcPr>
            <w:tcW w:w="1808" w:type="dxa"/>
            <w:vMerge w:val="restart"/>
            <w:shd w:val="clear" w:color="auto" w:fill="D9D9D9" w:themeFill="background1" w:themeFillShade="D9"/>
          </w:tcPr>
          <w:p w14:paraId="671AFCEE" w14:textId="77777777" w:rsidR="001441F6" w:rsidRDefault="001441F6" w:rsidP="00252D1B">
            <w:pPr>
              <w:rPr>
                <w:sz w:val="18"/>
                <w:szCs w:val="18"/>
              </w:rPr>
            </w:pPr>
          </w:p>
          <w:p w14:paraId="11663432" w14:textId="77777777" w:rsidR="001441F6" w:rsidRPr="001D33BA" w:rsidRDefault="001441F6" w:rsidP="00252D1B">
            <w:pPr>
              <w:jc w:val="center"/>
              <w:rPr>
                <w:b/>
                <w:sz w:val="18"/>
                <w:szCs w:val="18"/>
              </w:rPr>
            </w:pPr>
            <w:r w:rsidRPr="001D33BA">
              <w:rPr>
                <w:b/>
                <w:sz w:val="18"/>
                <w:szCs w:val="18"/>
              </w:rPr>
              <w:t>Asistencia</w:t>
            </w:r>
          </w:p>
        </w:tc>
      </w:tr>
      <w:tr w:rsidR="001441F6" w14:paraId="57ED6BA9" w14:textId="77777777" w:rsidTr="00252D1B">
        <w:tc>
          <w:tcPr>
            <w:tcW w:w="2156" w:type="dxa"/>
            <w:vMerge/>
          </w:tcPr>
          <w:p w14:paraId="593353F5" w14:textId="77777777" w:rsidR="001441F6" w:rsidRPr="009C118A" w:rsidRDefault="001441F6" w:rsidP="00252D1B">
            <w:pPr>
              <w:rPr>
                <w:b/>
                <w:sz w:val="16"/>
                <w:szCs w:val="16"/>
              </w:rPr>
            </w:pPr>
          </w:p>
        </w:tc>
        <w:tc>
          <w:tcPr>
            <w:tcW w:w="1547" w:type="dxa"/>
            <w:vMerge/>
          </w:tcPr>
          <w:p w14:paraId="2128C63B" w14:textId="77777777" w:rsidR="001441F6" w:rsidRDefault="001441F6" w:rsidP="00252D1B">
            <w:pPr>
              <w:rPr>
                <w:sz w:val="18"/>
                <w:szCs w:val="18"/>
              </w:rPr>
            </w:pPr>
          </w:p>
        </w:tc>
        <w:tc>
          <w:tcPr>
            <w:tcW w:w="1952" w:type="dxa"/>
            <w:shd w:val="clear" w:color="auto" w:fill="D9D9D9" w:themeFill="background1" w:themeFillShade="D9"/>
          </w:tcPr>
          <w:p w14:paraId="34499250" w14:textId="77777777" w:rsidR="001441F6" w:rsidRDefault="001441F6" w:rsidP="00252D1B">
            <w:pPr>
              <w:jc w:val="center"/>
              <w:rPr>
                <w:b/>
                <w:sz w:val="18"/>
                <w:szCs w:val="18"/>
              </w:rPr>
            </w:pPr>
          </w:p>
          <w:p w14:paraId="057EC87B" w14:textId="77777777" w:rsidR="001441F6" w:rsidRPr="00527E78" w:rsidRDefault="001441F6" w:rsidP="00252D1B">
            <w:pPr>
              <w:jc w:val="center"/>
              <w:rPr>
                <w:sz w:val="18"/>
                <w:szCs w:val="18"/>
              </w:rPr>
            </w:pPr>
            <w:r>
              <w:rPr>
                <w:b/>
                <w:sz w:val="18"/>
                <w:szCs w:val="18"/>
              </w:rPr>
              <w:t>Previsión</w:t>
            </w:r>
            <w:r>
              <w:rPr>
                <w:sz w:val="18"/>
                <w:szCs w:val="18"/>
              </w:rPr>
              <w:t>(1)</w:t>
            </w:r>
          </w:p>
        </w:tc>
        <w:tc>
          <w:tcPr>
            <w:tcW w:w="1898" w:type="dxa"/>
            <w:shd w:val="clear" w:color="auto" w:fill="D9D9D9" w:themeFill="background1" w:themeFillShade="D9"/>
          </w:tcPr>
          <w:p w14:paraId="6BDDB9BF" w14:textId="77777777" w:rsidR="001441F6" w:rsidRDefault="001441F6" w:rsidP="00252D1B">
            <w:pPr>
              <w:jc w:val="center"/>
              <w:rPr>
                <w:b/>
                <w:sz w:val="18"/>
                <w:szCs w:val="18"/>
              </w:rPr>
            </w:pPr>
          </w:p>
          <w:p w14:paraId="342BD4E4" w14:textId="77777777" w:rsidR="001441F6" w:rsidRPr="009C118A" w:rsidRDefault="001441F6" w:rsidP="00252D1B">
            <w:pPr>
              <w:jc w:val="center"/>
              <w:rPr>
                <w:b/>
                <w:sz w:val="18"/>
                <w:szCs w:val="18"/>
              </w:rPr>
            </w:pPr>
            <w:r>
              <w:rPr>
                <w:b/>
                <w:sz w:val="18"/>
                <w:szCs w:val="18"/>
              </w:rPr>
              <w:t>AAFF/AUH</w:t>
            </w:r>
          </w:p>
        </w:tc>
        <w:tc>
          <w:tcPr>
            <w:tcW w:w="1808" w:type="dxa"/>
            <w:shd w:val="clear" w:color="auto" w:fill="D9D9D9" w:themeFill="background1" w:themeFillShade="D9"/>
          </w:tcPr>
          <w:p w14:paraId="1092F617" w14:textId="77777777" w:rsidR="001441F6" w:rsidRPr="001D33BA" w:rsidRDefault="001441F6" w:rsidP="00252D1B">
            <w:pPr>
              <w:jc w:val="center"/>
              <w:rPr>
                <w:b/>
                <w:sz w:val="18"/>
                <w:szCs w:val="18"/>
              </w:rPr>
            </w:pPr>
            <w:r>
              <w:rPr>
                <w:b/>
                <w:sz w:val="18"/>
                <w:szCs w:val="18"/>
              </w:rPr>
              <w:t>Obras sociales</w:t>
            </w:r>
          </w:p>
        </w:tc>
        <w:tc>
          <w:tcPr>
            <w:tcW w:w="1815" w:type="dxa"/>
            <w:vMerge/>
          </w:tcPr>
          <w:p w14:paraId="70F779DD" w14:textId="77777777" w:rsidR="001441F6" w:rsidRDefault="001441F6" w:rsidP="00252D1B">
            <w:pPr>
              <w:jc w:val="center"/>
              <w:rPr>
                <w:sz w:val="18"/>
                <w:szCs w:val="18"/>
              </w:rPr>
            </w:pPr>
          </w:p>
        </w:tc>
        <w:tc>
          <w:tcPr>
            <w:tcW w:w="1808" w:type="dxa"/>
            <w:vMerge/>
          </w:tcPr>
          <w:p w14:paraId="610B0540" w14:textId="77777777" w:rsidR="001441F6" w:rsidRPr="001D33BA" w:rsidRDefault="001441F6" w:rsidP="00252D1B">
            <w:pPr>
              <w:jc w:val="center"/>
              <w:rPr>
                <w:b/>
                <w:sz w:val="18"/>
                <w:szCs w:val="18"/>
              </w:rPr>
            </w:pPr>
          </w:p>
        </w:tc>
        <w:tc>
          <w:tcPr>
            <w:tcW w:w="1808" w:type="dxa"/>
            <w:vMerge/>
          </w:tcPr>
          <w:p w14:paraId="7ED54CBA" w14:textId="77777777" w:rsidR="001441F6" w:rsidRPr="001D33BA" w:rsidRDefault="001441F6" w:rsidP="00252D1B">
            <w:pPr>
              <w:jc w:val="center"/>
              <w:rPr>
                <w:b/>
                <w:sz w:val="18"/>
                <w:szCs w:val="18"/>
              </w:rPr>
            </w:pPr>
          </w:p>
        </w:tc>
      </w:tr>
      <w:tr w:rsidR="001441F6" w14:paraId="393CC50A" w14:textId="77777777" w:rsidTr="00252D1B">
        <w:tc>
          <w:tcPr>
            <w:tcW w:w="2156" w:type="dxa"/>
          </w:tcPr>
          <w:p w14:paraId="4A482868" w14:textId="77777777" w:rsidR="001441F6" w:rsidRPr="00365610" w:rsidRDefault="001441F6" w:rsidP="00252D1B">
            <w:pPr>
              <w:rPr>
                <w:b/>
                <w:sz w:val="18"/>
                <w:szCs w:val="18"/>
              </w:rPr>
            </w:pPr>
            <w:r w:rsidRPr="00365610">
              <w:rPr>
                <w:b/>
                <w:sz w:val="18"/>
                <w:szCs w:val="18"/>
              </w:rPr>
              <w:t>REFORMA INSTITUCIONAL</w:t>
            </w:r>
          </w:p>
        </w:tc>
        <w:tc>
          <w:tcPr>
            <w:tcW w:w="1547" w:type="dxa"/>
          </w:tcPr>
          <w:p w14:paraId="4D42FAD7" w14:textId="77777777" w:rsidR="001441F6" w:rsidRDefault="001441F6" w:rsidP="00252D1B">
            <w:pPr>
              <w:rPr>
                <w:sz w:val="18"/>
                <w:szCs w:val="18"/>
              </w:rPr>
            </w:pPr>
            <w:r w:rsidRPr="00A052E5">
              <w:rPr>
                <w:b/>
                <w:sz w:val="18"/>
                <w:szCs w:val="18"/>
              </w:rPr>
              <w:t>Legislación:</w:t>
            </w:r>
            <w:r>
              <w:rPr>
                <w:sz w:val="18"/>
                <w:szCs w:val="18"/>
              </w:rPr>
              <w:t xml:space="preserve"> A –Estructural de RRLL (++)</w:t>
            </w:r>
          </w:p>
          <w:p w14:paraId="1D9DFAE0" w14:textId="77777777" w:rsidR="001441F6" w:rsidRDefault="001441F6" w:rsidP="00252D1B">
            <w:pPr>
              <w:rPr>
                <w:sz w:val="18"/>
                <w:szCs w:val="18"/>
              </w:rPr>
            </w:pPr>
            <w:r>
              <w:rPr>
                <w:sz w:val="18"/>
                <w:szCs w:val="18"/>
              </w:rPr>
              <w:t>Reforma interna: sí</w:t>
            </w:r>
          </w:p>
        </w:tc>
        <w:tc>
          <w:tcPr>
            <w:tcW w:w="1952" w:type="dxa"/>
          </w:tcPr>
          <w:p w14:paraId="50AE2503" w14:textId="77777777" w:rsidR="001441F6" w:rsidRDefault="001441F6" w:rsidP="00252D1B">
            <w:pPr>
              <w:rPr>
                <w:sz w:val="18"/>
                <w:szCs w:val="18"/>
              </w:rPr>
            </w:pPr>
            <w:r w:rsidRPr="00A052E5">
              <w:rPr>
                <w:b/>
                <w:sz w:val="18"/>
                <w:szCs w:val="18"/>
              </w:rPr>
              <w:t>Legislación:</w:t>
            </w:r>
            <w:r>
              <w:rPr>
                <w:sz w:val="18"/>
                <w:szCs w:val="18"/>
              </w:rPr>
              <w:t xml:space="preserve"> A. Estructural: sí</w:t>
            </w:r>
          </w:p>
          <w:p w14:paraId="43CEC26D" w14:textId="77777777" w:rsidR="001441F6" w:rsidRDefault="001441F6" w:rsidP="00252D1B">
            <w:pPr>
              <w:rPr>
                <w:sz w:val="18"/>
                <w:szCs w:val="18"/>
              </w:rPr>
            </w:pPr>
            <w:r>
              <w:rPr>
                <w:sz w:val="18"/>
                <w:szCs w:val="18"/>
              </w:rPr>
              <w:t>Protección: ++</w:t>
            </w:r>
          </w:p>
          <w:p w14:paraId="6E059D5F" w14:textId="77777777" w:rsidR="001441F6" w:rsidRDefault="001441F6" w:rsidP="00252D1B">
            <w:pPr>
              <w:rPr>
                <w:sz w:val="18"/>
                <w:szCs w:val="18"/>
              </w:rPr>
            </w:pPr>
            <w:r>
              <w:rPr>
                <w:sz w:val="18"/>
                <w:szCs w:val="18"/>
              </w:rPr>
              <w:t>Reforma interna: sí</w:t>
            </w:r>
          </w:p>
        </w:tc>
        <w:tc>
          <w:tcPr>
            <w:tcW w:w="1898" w:type="dxa"/>
          </w:tcPr>
          <w:p w14:paraId="6873342E" w14:textId="77777777" w:rsidR="001441F6" w:rsidRDefault="001441F6" w:rsidP="00252D1B">
            <w:pPr>
              <w:rPr>
                <w:sz w:val="18"/>
                <w:szCs w:val="18"/>
              </w:rPr>
            </w:pPr>
            <w:r w:rsidRPr="00A052E5">
              <w:rPr>
                <w:b/>
                <w:sz w:val="18"/>
                <w:szCs w:val="18"/>
              </w:rPr>
              <w:t>Legislación:</w:t>
            </w:r>
            <w:r>
              <w:rPr>
                <w:sz w:val="18"/>
                <w:szCs w:val="18"/>
              </w:rPr>
              <w:t>M</w:t>
            </w:r>
          </w:p>
          <w:p w14:paraId="26A5AD7E" w14:textId="77777777" w:rsidR="001441F6" w:rsidRDefault="001441F6" w:rsidP="00252D1B">
            <w:pPr>
              <w:rPr>
                <w:sz w:val="18"/>
                <w:szCs w:val="18"/>
              </w:rPr>
            </w:pPr>
            <w:r>
              <w:rPr>
                <w:sz w:val="18"/>
                <w:szCs w:val="18"/>
              </w:rPr>
              <w:t>Estructural: M</w:t>
            </w:r>
          </w:p>
          <w:p w14:paraId="3CFD7A03" w14:textId="77777777" w:rsidR="001441F6" w:rsidRDefault="001441F6" w:rsidP="00252D1B">
            <w:pPr>
              <w:rPr>
                <w:sz w:val="18"/>
                <w:szCs w:val="18"/>
              </w:rPr>
            </w:pPr>
            <w:r>
              <w:rPr>
                <w:sz w:val="18"/>
                <w:szCs w:val="18"/>
              </w:rPr>
              <w:t>Protección: ++</w:t>
            </w:r>
          </w:p>
          <w:p w14:paraId="633EAA9E" w14:textId="77777777" w:rsidR="001441F6" w:rsidRDefault="001441F6" w:rsidP="00252D1B">
            <w:pPr>
              <w:rPr>
                <w:sz w:val="18"/>
                <w:szCs w:val="18"/>
              </w:rPr>
            </w:pPr>
            <w:r>
              <w:rPr>
                <w:sz w:val="18"/>
                <w:szCs w:val="18"/>
              </w:rPr>
              <w:t>Reforma interna: no</w:t>
            </w:r>
          </w:p>
          <w:p w14:paraId="76244DF4" w14:textId="77777777" w:rsidR="001441F6" w:rsidRPr="00A052E5" w:rsidRDefault="001441F6" w:rsidP="00252D1B">
            <w:pPr>
              <w:rPr>
                <w:sz w:val="18"/>
                <w:szCs w:val="18"/>
              </w:rPr>
            </w:pPr>
          </w:p>
        </w:tc>
        <w:tc>
          <w:tcPr>
            <w:tcW w:w="1808" w:type="dxa"/>
          </w:tcPr>
          <w:p w14:paraId="69CF92AF" w14:textId="77777777" w:rsidR="001441F6" w:rsidRDefault="001441F6" w:rsidP="00252D1B">
            <w:pPr>
              <w:rPr>
                <w:sz w:val="18"/>
                <w:szCs w:val="18"/>
              </w:rPr>
            </w:pPr>
            <w:r w:rsidRPr="00A052E5">
              <w:rPr>
                <w:b/>
                <w:sz w:val="18"/>
                <w:szCs w:val="18"/>
              </w:rPr>
              <w:t>Legislación:</w:t>
            </w:r>
            <w:r>
              <w:rPr>
                <w:sz w:val="18"/>
                <w:szCs w:val="18"/>
              </w:rPr>
              <w:t>M</w:t>
            </w:r>
          </w:p>
          <w:p w14:paraId="5B3B25F4" w14:textId="77777777" w:rsidR="001441F6" w:rsidRDefault="001441F6" w:rsidP="00252D1B">
            <w:pPr>
              <w:rPr>
                <w:sz w:val="18"/>
                <w:szCs w:val="18"/>
              </w:rPr>
            </w:pPr>
            <w:r>
              <w:rPr>
                <w:sz w:val="18"/>
                <w:szCs w:val="18"/>
              </w:rPr>
              <w:t>Estructural: no</w:t>
            </w:r>
          </w:p>
          <w:p w14:paraId="072BEE71" w14:textId="77777777" w:rsidR="001441F6" w:rsidRDefault="001441F6" w:rsidP="00252D1B">
            <w:pPr>
              <w:rPr>
                <w:sz w:val="18"/>
                <w:szCs w:val="18"/>
              </w:rPr>
            </w:pPr>
            <w:r>
              <w:rPr>
                <w:sz w:val="18"/>
                <w:szCs w:val="18"/>
              </w:rPr>
              <w:t>Protección: +</w:t>
            </w:r>
          </w:p>
          <w:p w14:paraId="3B670EA3" w14:textId="77777777" w:rsidR="001441F6" w:rsidRPr="00A052E5" w:rsidRDefault="001441F6" w:rsidP="00252D1B">
            <w:pPr>
              <w:rPr>
                <w:sz w:val="18"/>
                <w:szCs w:val="18"/>
              </w:rPr>
            </w:pPr>
            <w:r>
              <w:rPr>
                <w:sz w:val="18"/>
                <w:szCs w:val="18"/>
              </w:rPr>
              <w:t>Reforma interna: no</w:t>
            </w:r>
          </w:p>
        </w:tc>
        <w:tc>
          <w:tcPr>
            <w:tcW w:w="1815" w:type="dxa"/>
          </w:tcPr>
          <w:p w14:paraId="7BA955C8" w14:textId="77777777" w:rsidR="001441F6" w:rsidRDefault="001441F6" w:rsidP="00252D1B">
            <w:pPr>
              <w:rPr>
                <w:sz w:val="18"/>
                <w:szCs w:val="18"/>
              </w:rPr>
            </w:pPr>
            <w:r w:rsidRPr="00A052E5">
              <w:rPr>
                <w:b/>
                <w:sz w:val="18"/>
                <w:szCs w:val="18"/>
              </w:rPr>
              <w:t>Legislación:</w:t>
            </w:r>
            <w:r>
              <w:rPr>
                <w:sz w:val="18"/>
                <w:szCs w:val="18"/>
              </w:rPr>
              <w:t>A</w:t>
            </w:r>
          </w:p>
          <w:p w14:paraId="2A4CE04E" w14:textId="77777777" w:rsidR="001441F6" w:rsidRDefault="001441F6" w:rsidP="00252D1B">
            <w:pPr>
              <w:rPr>
                <w:sz w:val="18"/>
                <w:szCs w:val="18"/>
              </w:rPr>
            </w:pPr>
            <w:r>
              <w:rPr>
                <w:sz w:val="18"/>
                <w:szCs w:val="18"/>
              </w:rPr>
              <w:t>Estructural: M</w:t>
            </w:r>
          </w:p>
          <w:p w14:paraId="6245D38B" w14:textId="77777777" w:rsidR="001441F6" w:rsidRDefault="001441F6" w:rsidP="00252D1B">
            <w:pPr>
              <w:rPr>
                <w:sz w:val="18"/>
                <w:szCs w:val="18"/>
              </w:rPr>
            </w:pPr>
            <w:r>
              <w:rPr>
                <w:sz w:val="18"/>
                <w:szCs w:val="18"/>
              </w:rPr>
              <w:t>Protección: ++</w:t>
            </w:r>
          </w:p>
          <w:p w14:paraId="2BD17914" w14:textId="77777777" w:rsidR="001441F6" w:rsidRDefault="001441F6" w:rsidP="00252D1B">
            <w:pPr>
              <w:rPr>
                <w:sz w:val="18"/>
                <w:szCs w:val="18"/>
              </w:rPr>
            </w:pPr>
            <w:r>
              <w:rPr>
                <w:sz w:val="18"/>
                <w:szCs w:val="18"/>
              </w:rPr>
              <w:t>Reforma interna: sí</w:t>
            </w:r>
          </w:p>
          <w:p w14:paraId="1E1EB83A" w14:textId="77777777" w:rsidR="001441F6" w:rsidRPr="00A052E5" w:rsidRDefault="001441F6" w:rsidP="00252D1B">
            <w:pPr>
              <w:rPr>
                <w:sz w:val="18"/>
                <w:szCs w:val="18"/>
              </w:rPr>
            </w:pPr>
          </w:p>
        </w:tc>
        <w:tc>
          <w:tcPr>
            <w:tcW w:w="1808" w:type="dxa"/>
          </w:tcPr>
          <w:p w14:paraId="1B8E593F" w14:textId="77777777" w:rsidR="001441F6" w:rsidRDefault="001441F6" w:rsidP="00252D1B">
            <w:pPr>
              <w:rPr>
                <w:sz w:val="18"/>
                <w:szCs w:val="18"/>
              </w:rPr>
            </w:pPr>
            <w:r w:rsidRPr="00A052E5">
              <w:rPr>
                <w:b/>
                <w:sz w:val="18"/>
                <w:szCs w:val="18"/>
              </w:rPr>
              <w:t>Legislación:</w:t>
            </w:r>
            <w:r>
              <w:rPr>
                <w:b/>
                <w:sz w:val="18"/>
                <w:szCs w:val="18"/>
              </w:rPr>
              <w:t xml:space="preserve"> </w:t>
            </w:r>
            <w:r>
              <w:rPr>
                <w:sz w:val="18"/>
                <w:szCs w:val="18"/>
              </w:rPr>
              <w:t>A</w:t>
            </w:r>
          </w:p>
          <w:p w14:paraId="3F028700" w14:textId="77777777" w:rsidR="001441F6" w:rsidRDefault="001441F6" w:rsidP="00252D1B">
            <w:pPr>
              <w:rPr>
                <w:sz w:val="18"/>
                <w:szCs w:val="18"/>
              </w:rPr>
            </w:pPr>
            <w:r>
              <w:rPr>
                <w:sz w:val="18"/>
                <w:szCs w:val="18"/>
              </w:rPr>
              <w:t>Estructural: sí</w:t>
            </w:r>
          </w:p>
          <w:p w14:paraId="5F01DEEB" w14:textId="77777777" w:rsidR="001441F6" w:rsidRDefault="001441F6" w:rsidP="00252D1B">
            <w:pPr>
              <w:rPr>
                <w:sz w:val="18"/>
                <w:szCs w:val="18"/>
              </w:rPr>
            </w:pPr>
            <w:r>
              <w:rPr>
                <w:sz w:val="18"/>
                <w:szCs w:val="18"/>
              </w:rPr>
              <w:t>Protección: ++</w:t>
            </w:r>
          </w:p>
          <w:p w14:paraId="65D1C7FE" w14:textId="77777777" w:rsidR="001441F6" w:rsidRPr="00A052E5" w:rsidRDefault="001441F6" w:rsidP="00252D1B">
            <w:pPr>
              <w:rPr>
                <w:sz w:val="18"/>
                <w:szCs w:val="18"/>
              </w:rPr>
            </w:pPr>
            <w:r>
              <w:rPr>
                <w:sz w:val="18"/>
                <w:szCs w:val="18"/>
              </w:rPr>
              <w:t>Reforma interna: sí</w:t>
            </w:r>
          </w:p>
        </w:tc>
        <w:tc>
          <w:tcPr>
            <w:tcW w:w="1808" w:type="dxa"/>
          </w:tcPr>
          <w:p w14:paraId="3BF24752" w14:textId="77777777" w:rsidR="001441F6" w:rsidRDefault="001441F6" w:rsidP="00252D1B">
            <w:pPr>
              <w:rPr>
                <w:sz w:val="18"/>
                <w:szCs w:val="18"/>
              </w:rPr>
            </w:pPr>
            <w:r w:rsidRPr="00A052E5">
              <w:rPr>
                <w:b/>
                <w:sz w:val="18"/>
                <w:szCs w:val="18"/>
              </w:rPr>
              <w:t>Legislación:</w:t>
            </w:r>
            <w:r>
              <w:rPr>
                <w:b/>
                <w:sz w:val="18"/>
                <w:szCs w:val="18"/>
              </w:rPr>
              <w:t xml:space="preserve"> </w:t>
            </w:r>
            <w:r>
              <w:rPr>
                <w:sz w:val="18"/>
                <w:szCs w:val="18"/>
              </w:rPr>
              <w:t>M</w:t>
            </w:r>
          </w:p>
          <w:p w14:paraId="58A6EBC8" w14:textId="77777777" w:rsidR="001441F6" w:rsidRDefault="001441F6" w:rsidP="00252D1B">
            <w:pPr>
              <w:rPr>
                <w:sz w:val="18"/>
                <w:szCs w:val="18"/>
              </w:rPr>
            </w:pPr>
            <w:r>
              <w:rPr>
                <w:sz w:val="18"/>
                <w:szCs w:val="18"/>
              </w:rPr>
              <w:t>Estructural: B</w:t>
            </w:r>
          </w:p>
          <w:p w14:paraId="16B02D14" w14:textId="77777777" w:rsidR="001441F6" w:rsidRDefault="001441F6" w:rsidP="00252D1B">
            <w:pPr>
              <w:rPr>
                <w:sz w:val="18"/>
                <w:szCs w:val="18"/>
              </w:rPr>
            </w:pPr>
            <w:r>
              <w:rPr>
                <w:sz w:val="18"/>
                <w:szCs w:val="18"/>
              </w:rPr>
              <w:t>Protección: ++</w:t>
            </w:r>
          </w:p>
          <w:p w14:paraId="7FBE0E6F" w14:textId="77777777" w:rsidR="001441F6" w:rsidRPr="00A052E5" w:rsidRDefault="001441F6" w:rsidP="00252D1B">
            <w:pPr>
              <w:rPr>
                <w:sz w:val="18"/>
                <w:szCs w:val="18"/>
              </w:rPr>
            </w:pPr>
            <w:r>
              <w:rPr>
                <w:sz w:val="18"/>
                <w:szCs w:val="18"/>
              </w:rPr>
              <w:t>Reforma interna: sí</w:t>
            </w:r>
          </w:p>
        </w:tc>
      </w:tr>
      <w:tr w:rsidR="001441F6" w14:paraId="1BAA25C4" w14:textId="77777777" w:rsidTr="00252D1B">
        <w:tc>
          <w:tcPr>
            <w:tcW w:w="2156" w:type="dxa"/>
            <w:shd w:val="clear" w:color="auto" w:fill="EEECE1" w:themeFill="background2"/>
          </w:tcPr>
          <w:p w14:paraId="6B5FEF44" w14:textId="77777777" w:rsidR="001441F6" w:rsidRPr="00365610" w:rsidRDefault="001441F6" w:rsidP="00252D1B">
            <w:pPr>
              <w:rPr>
                <w:b/>
                <w:sz w:val="18"/>
                <w:szCs w:val="18"/>
              </w:rPr>
            </w:pPr>
            <w:r>
              <w:rPr>
                <w:b/>
                <w:sz w:val="18"/>
                <w:szCs w:val="18"/>
              </w:rPr>
              <w:t>RENACIONALIZACIÒN</w:t>
            </w:r>
          </w:p>
        </w:tc>
        <w:tc>
          <w:tcPr>
            <w:tcW w:w="1547" w:type="dxa"/>
          </w:tcPr>
          <w:p w14:paraId="5A6AED5A" w14:textId="77777777" w:rsidR="001441F6" w:rsidRDefault="001441F6" w:rsidP="00252D1B">
            <w:pPr>
              <w:rPr>
                <w:sz w:val="18"/>
                <w:szCs w:val="18"/>
              </w:rPr>
            </w:pPr>
          </w:p>
        </w:tc>
        <w:tc>
          <w:tcPr>
            <w:tcW w:w="1952" w:type="dxa"/>
          </w:tcPr>
          <w:p w14:paraId="53207407" w14:textId="77777777" w:rsidR="001441F6" w:rsidRDefault="001441F6" w:rsidP="00252D1B">
            <w:pPr>
              <w:rPr>
                <w:sz w:val="18"/>
                <w:szCs w:val="18"/>
              </w:rPr>
            </w:pPr>
          </w:p>
        </w:tc>
        <w:tc>
          <w:tcPr>
            <w:tcW w:w="1898" w:type="dxa"/>
          </w:tcPr>
          <w:p w14:paraId="1F1024AF" w14:textId="77777777" w:rsidR="001441F6" w:rsidRDefault="001441F6" w:rsidP="00252D1B">
            <w:pPr>
              <w:rPr>
                <w:sz w:val="18"/>
                <w:szCs w:val="18"/>
              </w:rPr>
            </w:pPr>
          </w:p>
        </w:tc>
        <w:tc>
          <w:tcPr>
            <w:tcW w:w="1808" w:type="dxa"/>
          </w:tcPr>
          <w:p w14:paraId="495C15E1" w14:textId="77777777" w:rsidR="001441F6" w:rsidRDefault="001441F6" w:rsidP="00252D1B">
            <w:pPr>
              <w:rPr>
                <w:sz w:val="18"/>
                <w:szCs w:val="18"/>
              </w:rPr>
            </w:pPr>
          </w:p>
        </w:tc>
        <w:tc>
          <w:tcPr>
            <w:tcW w:w="1815" w:type="dxa"/>
          </w:tcPr>
          <w:p w14:paraId="6CC03D71" w14:textId="77777777" w:rsidR="001441F6" w:rsidRDefault="001441F6" w:rsidP="00252D1B">
            <w:pPr>
              <w:rPr>
                <w:sz w:val="18"/>
                <w:szCs w:val="18"/>
              </w:rPr>
            </w:pPr>
          </w:p>
        </w:tc>
        <w:tc>
          <w:tcPr>
            <w:tcW w:w="1808" w:type="dxa"/>
          </w:tcPr>
          <w:p w14:paraId="2601F6B0" w14:textId="77777777" w:rsidR="001441F6" w:rsidRDefault="001441F6" w:rsidP="00252D1B">
            <w:pPr>
              <w:rPr>
                <w:sz w:val="18"/>
                <w:szCs w:val="18"/>
              </w:rPr>
            </w:pPr>
          </w:p>
        </w:tc>
        <w:tc>
          <w:tcPr>
            <w:tcW w:w="1808" w:type="dxa"/>
          </w:tcPr>
          <w:p w14:paraId="3461814D" w14:textId="77777777" w:rsidR="001441F6" w:rsidRDefault="001441F6" w:rsidP="00252D1B">
            <w:pPr>
              <w:rPr>
                <w:sz w:val="18"/>
                <w:szCs w:val="18"/>
              </w:rPr>
            </w:pPr>
          </w:p>
        </w:tc>
      </w:tr>
      <w:tr w:rsidR="001441F6" w14:paraId="7A06B5E0" w14:textId="77777777" w:rsidTr="00252D1B">
        <w:tc>
          <w:tcPr>
            <w:tcW w:w="2156" w:type="dxa"/>
          </w:tcPr>
          <w:p w14:paraId="69778BEB" w14:textId="77777777" w:rsidR="001441F6" w:rsidRDefault="001441F6" w:rsidP="00252D1B">
            <w:pPr>
              <w:jc w:val="right"/>
              <w:rPr>
                <w:sz w:val="18"/>
                <w:szCs w:val="18"/>
              </w:rPr>
            </w:pPr>
            <w:r>
              <w:rPr>
                <w:sz w:val="18"/>
                <w:szCs w:val="18"/>
              </w:rPr>
              <w:t>Ordinarias</w:t>
            </w:r>
          </w:p>
        </w:tc>
        <w:tc>
          <w:tcPr>
            <w:tcW w:w="1547" w:type="dxa"/>
          </w:tcPr>
          <w:p w14:paraId="2A3FADA9" w14:textId="77777777" w:rsidR="001441F6" w:rsidRDefault="001441F6" w:rsidP="00252D1B">
            <w:pPr>
              <w:rPr>
                <w:sz w:val="18"/>
                <w:szCs w:val="18"/>
              </w:rPr>
            </w:pPr>
            <w:r>
              <w:rPr>
                <w:sz w:val="18"/>
                <w:szCs w:val="18"/>
              </w:rPr>
              <w:t>Inspecciones</w:t>
            </w:r>
          </w:p>
        </w:tc>
        <w:tc>
          <w:tcPr>
            <w:tcW w:w="1952" w:type="dxa"/>
          </w:tcPr>
          <w:p w14:paraId="67F5E676" w14:textId="77777777" w:rsidR="001441F6" w:rsidRDefault="001441F6" w:rsidP="00252D1B">
            <w:pPr>
              <w:rPr>
                <w:sz w:val="18"/>
                <w:szCs w:val="18"/>
              </w:rPr>
            </w:pPr>
            <w:r>
              <w:rPr>
                <w:sz w:val="18"/>
                <w:szCs w:val="18"/>
              </w:rPr>
              <w:t>Presencia física en todo el país (+)</w:t>
            </w:r>
          </w:p>
        </w:tc>
        <w:tc>
          <w:tcPr>
            <w:tcW w:w="1898" w:type="dxa"/>
          </w:tcPr>
          <w:p w14:paraId="5F97344D" w14:textId="77777777" w:rsidR="001441F6" w:rsidRDefault="001441F6" w:rsidP="00252D1B">
            <w:pPr>
              <w:rPr>
                <w:sz w:val="18"/>
                <w:szCs w:val="18"/>
              </w:rPr>
            </w:pPr>
            <w:r>
              <w:rPr>
                <w:sz w:val="18"/>
                <w:szCs w:val="18"/>
              </w:rPr>
              <w:t>Presencia física en todo el país (+)</w:t>
            </w:r>
          </w:p>
        </w:tc>
        <w:tc>
          <w:tcPr>
            <w:tcW w:w="1808" w:type="dxa"/>
          </w:tcPr>
          <w:p w14:paraId="46BE5C58" w14:textId="77777777" w:rsidR="001441F6" w:rsidRDefault="001441F6" w:rsidP="00252D1B">
            <w:pPr>
              <w:rPr>
                <w:sz w:val="18"/>
                <w:szCs w:val="18"/>
              </w:rPr>
            </w:pPr>
            <w:r>
              <w:rPr>
                <w:sz w:val="18"/>
                <w:szCs w:val="18"/>
              </w:rPr>
              <w:t>No</w:t>
            </w:r>
          </w:p>
        </w:tc>
        <w:tc>
          <w:tcPr>
            <w:tcW w:w="1815" w:type="dxa"/>
          </w:tcPr>
          <w:p w14:paraId="0FE964CD" w14:textId="77777777" w:rsidR="001441F6" w:rsidRDefault="001441F6" w:rsidP="00252D1B">
            <w:pPr>
              <w:rPr>
                <w:sz w:val="18"/>
                <w:szCs w:val="18"/>
              </w:rPr>
            </w:pPr>
            <w:r>
              <w:rPr>
                <w:sz w:val="18"/>
                <w:szCs w:val="18"/>
              </w:rPr>
              <w:t>Vacunación (++) (2)</w:t>
            </w:r>
          </w:p>
        </w:tc>
        <w:tc>
          <w:tcPr>
            <w:tcW w:w="1808" w:type="dxa"/>
          </w:tcPr>
          <w:p w14:paraId="07CCD53B" w14:textId="77777777" w:rsidR="001441F6" w:rsidRDefault="001441F6" w:rsidP="00252D1B">
            <w:pPr>
              <w:rPr>
                <w:sz w:val="18"/>
                <w:szCs w:val="18"/>
              </w:rPr>
            </w:pPr>
            <w:r>
              <w:rPr>
                <w:sz w:val="18"/>
                <w:szCs w:val="18"/>
              </w:rPr>
              <w:t>Universidades públicas</w:t>
            </w:r>
          </w:p>
          <w:p w14:paraId="581CFA38" w14:textId="77777777" w:rsidR="001441F6" w:rsidRDefault="001441F6" w:rsidP="00252D1B">
            <w:pPr>
              <w:rPr>
                <w:sz w:val="18"/>
                <w:szCs w:val="18"/>
              </w:rPr>
            </w:pPr>
            <w:r>
              <w:rPr>
                <w:sz w:val="18"/>
                <w:szCs w:val="18"/>
              </w:rPr>
              <w:t>Conectar Igualdad</w:t>
            </w:r>
          </w:p>
        </w:tc>
        <w:tc>
          <w:tcPr>
            <w:tcW w:w="1808" w:type="dxa"/>
          </w:tcPr>
          <w:p w14:paraId="6AB8229D" w14:textId="77777777" w:rsidR="001441F6" w:rsidRDefault="001441F6" w:rsidP="00252D1B">
            <w:pPr>
              <w:rPr>
                <w:sz w:val="18"/>
                <w:szCs w:val="18"/>
              </w:rPr>
            </w:pPr>
            <w:r>
              <w:rPr>
                <w:sz w:val="18"/>
                <w:szCs w:val="18"/>
              </w:rPr>
              <w:t>PNC: ++</w:t>
            </w:r>
          </w:p>
          <w:p w14:paraId="3514CCEF" w14:textId="77777777" w:rsidR="001441F6" w:rsidRDefault="001441F6" w:rsidP="00252D1B">
            <w:pPr>
              <w:rPr>
                <w:sz w:val="18"/>
                <w:szCs w:val="18"/>
              </w:rPr>
            </w:pPr>
          </w:p>
        </w:tc>
      </w:tr>
      <w:tr w:rsidR="001441F6" w14:paraId="01CF7B87" w14:textId="77777777" w:rsidTr="00252D1B">
        <w:tc>
          <w:tcPr>
            <w:tcW w:w="2156" w:type="dxa"/>
            <w:shd w:val="clear" w:color="auto" w:fill="EEECE1" w:themeFill="background2"/>
          </w:tcPr>
          <w:p w14:paraId="6E7C5665" w14:textId="77777777" w:rsidR="001441F6" w:rsidRDefault="001441F6" w:rsidP="00252D1B">
            <w:pPr>
              <w:jc w:val="right"/>
              <w:rPr>
                <w:sz w:val="18"/>
                <w:szCs w:val="18"/>
              </w:rPr>
            </w:pPr>
            <w:r>
              <w:rPr>
                <w:sz w:val="18"/>
                <w:szCs w:val="18"/>
              </w:rPr>
              <w:t>Especiales</w:t>
            </w:r>
          </w:p>
        </w:tc>
        <w:tc>
          <w:tcPr>
            <w:tcW w:w="1547" w:type="dxa"/>
            <w:shd w:val="clear" w:color="auto" w:fill="EEECE1" w:themeFill="background2"/>
          </w:tcPr>
          <w:p w14:paraId="330B62FE" w14:textId="77777777" w:rsidR="001441F6" w:rsidRDefault="001441F6" w:rsidP="00252D1B">
            <w:pPr>
              <w:rPr>
                <w:sz w:val="18"/>
                <w:szCs w:val="18"/>
              </w:rPr>
            </w:pPr>
          </w:p>
        </w:tc>
        <w:tc>
          <w:tcPr>
            <w:tcW w:w="1952" w:type="dxa"/>
            <w:shd w:val="clear" w:color="auto" w:fill="EEECE1" w:themeFill="background2"/>
          </w:tcPr>
          <w:p w14:paraId="56E17F51" w14:textId="77777777" w:rsidR="001441F6" w:rsidRDefault="001441F6" w:rsidP="00252D1B">
            <w:pPr>
              <w:rPr>
                <w:sz w:val="18"/>
                <w:szCs w:val="18"/>
              </w:rPr>
            </w:pPr>
            <w:r>
              <w:rPr>
                <w:sz w:val="18"/>
                <w:szCs w:val="18"/>
              </w:rPr>
              <w:t xml:space="preserve">Sí: </w:t>
            </w:r>
          </w:p>
        </w:tc>
        <w:tc>
          <w:tcPr>
            <w:tcW w:w="1898" w:type="dxa"/>
            <w:shd w:val="clear" w:color="auto" w:fill="EEECE1" w:themeFill="background2"/>
          </w:tcPr>
          <w:p w14:paraId="23DE267C" w14:textId="77777777" w:rsidR="001441F6" w:rsidRDefault="001441F6" w:rsidP="00252D1B">
            <w:pPr>
              <w:rPr>
                <w:sz w:val="18"/>
                <w:szCs w:val="18"/>
              </w:rPr>
            </w:pPr>
          </w:p>
        </w:tc>
        <w:tc>
          <w:tcPr>
            <w:tcW w:w="1808" w:type="dxa"/>
            <w:shd w:val="clear" w:color="auto" w:fill="EEECE1" w:themeFill="background2"/>
          </w:tcPr>
          <w:p w14:paraId="1C7737A5" w14:textId="77777777" w:rsidR="001441F6" w:rsidRDefault="001441F6" w:rsidP="00252D1B">
            <w:pPr>
              <w:rPr>
                <w:sz w:val="18"/>
                <w:szCs w:val="18"/>
              </w:rPr>
            </w:pPr>
            <w:r>
              <w:rPr>
                <w:sz w:val="18"/>
                <w:szCs w:val="18"/>
              </w:rPr>
              <w:t>No</w:t>
            </w:r>
          </w:p>
        </w:tc>
        <w:tc>
          <w:tcPr>
            <w:tcW w:w="1815" w:type="dxa"/>
            <w:shd w:val="clear" w:color="auto" w:fill="EEECE1" w:themeFill="background2"/>
          </w:tcPr>
          <w:p w14:paraId="249E6B31" w14:textId="77777777" w:rsidR="001441F6" w:rsidRDefault="001441F6" w:rsidP="00252D1B">
            <w:pPr>
              <w:rPr>
                <w:sz w:val="18"/>
                <w:szCs w:val="18"/>
              </w:rPr>
            </w:pPr>
            <w:r>
              <w:rPr>
                <w:sz w:val="18"/>
                <w:szCs w:val="18"/>
              </w:rPr>
              <w:t>NACER ++</w:t>
            </w:r>
          </w:p>
          <w:p w14:paraId="6C82FDC1" w14:textId="77777777" w:rsidR="001441F6" w:rsidRDefault="001441F6" w:rsidP="00252D1B">
            <w:pPr>
              <w:rPr>
                <w:sz w:val="18"/>
                <w:szCs w:val="18"/>
              </w:rPr>
            </w:pPr>
            <w:r>
              <w:rPr>
                <w:sz w:val="18"/>
                <w:szCs w:val="18"/>
              </w:rPr>
              <w:t>SUMAR ++</w:t>
            </w:r>
          </w:p>
        </w:tc>
        <w:tc>
          <w:tcPr>
            <w:tcW w:w="1808" w:type="dxa"/>
            <w:shd w:val="clear" w:color="auto" w:fill="EEECE1" w:themeFill="background2"/>
          </w:tcPr>
          <w:p w14:paraId="784DD5D6" w14:textId="77777777" w:rsidR="001441F6" w:rsidRDefault="001441F6" w:rsidP="00252D1B">
            <w:pPr>
              <w:rPr>
                <w:sz w:val="18"/>
                <w:szCs w:val="18"/>
              </w:rPr>
            </w:pPr>
          </w:p>
        </w:tc>
        <w:tc>
          <w:tcPr>
            <w:tcW w:w="1808" w:type="dxa"/>
            <w:shd w:val="clear" w:color="auto" w:fill="EEECE1" w:themeFill="background2"/>
          </w:tcPr>
          <w:p w14:paraId="5D117557" w14:textId="77777777" w:rsidR="001441F6" w:rsidRDefault="001441F6" w:rsidP="00252D1B">
            <w:pPr>
              <w:rPr>
                <w:sz w:val="18"/>
                <w:szCs w:val="18"/>
              </w:rPr>
            </w:pPr>
          </w:p>
        </w:tc>
      </w:tr>
      <w:tr w:rsidR="001441F6" w14:paraId="78137D4B" w14:textId="77777777" w:rsidTr="00252D1B">
        <w:tc>
          <w:tcPr>
            <w:tcW w:w="2156" w:type="dxa"/>
          </w:tcPr>
          <w:p w14:paraId="0FC29342" w14:textId="77777777" w:rsidR="001441F6" w:rsidRDefault="001441F6" w:rsidP="00252D1B">
            <w:pPr>
              <w:jc w:val="right"/>
              <w:rPr>
                <w:sz w:val="18"/>
                <w:szCs w:val="18"/>
              </w:rPr>
            </w:pPr>
            <w:r>
              <w:rPr>
                <w:sz w:val="18"/>
                <w:szCs w:val="18"/>
              </w:rPr>
              <w:t>Extraordinarias/</w:t>
            </w:r>
          </w:p>
          <w:p w14:paraId="3697FAB6" w14:textId="77777777" w:rsidR="001441F6" w:rsidRDefault="001441F6" w:rsidP="00252D1B">
            <w:pPr>
              <w:jc w:val="right"/>
              <w:rPr>
                <w:sz w:val="18"/>
                <w:szCs w:val="18"/>
              </w:rPr>
            </w:pPr>
            <w:r>
              <w:rPr>
                <w:sz w:val="18"/>
                <w:szCs w:val="18"/>
              </w:rPr>
              <w:t>Emergencia</w:t>
            </w:r>
          </w:p>
        </w:tc>
        <w:tc>
          <w:tcPr>
            <w:tcW w:w="1547" w:type="dxa"/>
          </w:tcPr>
          <w:p w14:paraId="7F79D747" w14:textId="77777777" w:rsidR="001441F6" w:rsidRDefault="001441F6" w:rsidP="00252D1B">
            <w:pPr>
              <w:rPr>
                <w:sz w:val="18"/>
                <w:szCs w:val="18"/>
              </w:rPr>
            </w:pPr>
          </w:p>
        </w:tc>
        <w:tc>
          <w:tcPr>
            <w:tcW w:w="1952" w:type="dxa"/>
          </w:tcPr>
          <w:p w14:paraId="0044C3B8" w14:textId="77777777" w:rsidR="001441F6" w:rsidRDefault="001441F6" w:rsidP="00252D1B">
            <w:pPr>
              <w:rPr>
                <w:sz w:val="18"/>
                <w:szCs w:val="18"/>
              </w:rPr>
            </w:pPr>
            <w:r>
              <w:rPr>
                <w:sz w:val="18"/>
                <w:szCs w:val="18"/>
              </w:rPr>
              <w:t>Operativos</w:t>
            </w:r>
          </w:p>
          <w:p w14:paraId="6915264F" w14:textId="77777777" w:rsidR="001441F6" w:rsidRDefault="001441F6" w:rsidP="00252D1B">
            <w:pPr>
              <w:rPr>
                <w:sz w:val="18"/>
                <w:szCs w:val="18"/>
              </w:rPr>
            </w:pPr>
            <w:r>
              <w:rPr>
                <w:sz w:val="18"/>
                <w:szCs w:val="18"/>
              </w:rPr>
              <w:t>campañas</w:t>
            </w:r>
          </w:p>
        </w:tc>
        <w:tc>
          <w:tcPr>
            <w:tcW w:w="1898" w:type="dxa"/>
          </w:tcPr>
          <w:p w14:paraId="6B6B94F1" w14:textId="77777777" w:rsidR="001441F6" w:rsidRDefault="001441F6" w:rsidP="00252D1B">
            <w:pPr>
              <w:rPr>
                <w:sz w:val="18"/>
                <w:szCs w:val="18"/>
              </w:rPr>
            </w:pPr>
            <w:r>
              <w:rPr>
                <w:sz w:val="18"/>
                <w:szCs w:val="18"/>
              </w:rPr>
              <w:t>Operativos</w:t>
            </w:r>
          </w:p>
          <w:p w14:paraId="193DCD86" w14:textId="77777777" w:rsidR="001441F6" w:rsidRDefault="001441F6" w:rsidP="00252D1B">
            <w:pPr>
              <w:rPr>
                <w:sz w:val="18"/>
                <w:szCs w:val="18"/>
              </w:rPr>
            </w:pPr>
            <w:r>
              <w:rPr>
                <w:sz w:val="18"/>
                <w:szCs w:val="18"/>
              </w:rPr>
              <w:t>campañas</w:t>
            </w:r>
          </w:p>
        </w:tc>
        <w:tc>
          <w:tcPr>
            <w:tcW w:w="1808" w:type="dxa"/>
          </w:tcPr>
          <w:p w14:paraId="73025DC6" w14:textId="77777777" w:rsidR="001441F6" w:rsidRDefault="001441F6" w:rsidP="00252D1B">
            <w:pPr>
              <w:rPr>
                <w:sz w:val="18"/>
                <w:szCs w:val="18"/>
              </w:rPr>
            </w:pPr>
            <w:r>
              <w:rPr>
                <w:sz w:val="18"/>
                <w:szCs w:val="18"/>
              </w:rPr>
              <w:t>No</w:t>
            </w:r>
          </w:p>
        </w:tc>
        <w:tc>
          <w:tcPr>
            <w:tcW w:w="1815" w:type="dxa"/>
          </w:tcPr>
          <w:p w14:paraId="3CD47BCD" w14:textId="77777777" w:rsidR="001441F6" w:rsidRDefault="001441F6" w:rsidP="00252D1B">
            <w:pPr>
              <w:rPr>
                <w:sz w:val="18"/>
                <w:szCs w:val="18"/>
              </w:rPr>
            </w:pPr>
          </w:p>
        </w:tc>
        <w:tc>
          <w:tcPr>
            <w:tcW w:w="1808" w:type="dxa"/>
          </w:tcPr>
          <w:p w14:paraId="3E9E3F84" w14:textId="77777777" w:rsidR="001441F6" w:rsidRDefault="001441F6" w:rsidP="00252D1B">
            <w:pPr>
              <w:rPr>
                <w:sz w:val="18"/>
                <w:szCs w:val="18"/>
              </w:rPr>
            </w:pPr>
          </w:p>
        </w:tc>
        <w:tc>
          <w:tcPr>
            <w:tcW w:w="1808" w:type="dxa"/>
          </w:tcPr>
          <w:p w14:paraId="57F76ED6" w14:textId="77777777" w:rsidR="001441F6" w:rsidRDefault="001441F6" w:rsidP="00252D1B">
            <w:pPr>
              <w:rPr>
                <w:sz w:val="18"/>
                <w:szCs w:val="18"/>
              </w:rPr>
            </w:pPr>
            <w:r>
              <w:rPr>
                <w:sz w:val="18"/>
                <w:szCs w:val="18"/>
              </w:rPr>
              <w:t>Operativos</w:t>
            </w:r>
          </w:p>
          <w:p w14:paraId="4A63F74F" w14:textId="77777777" w:rsidR="001441F6" w:rsidRDefault="001441F6" w:rsidP="00252D1B">
            <w:pPr>
              <w:rPr>
                <w:sz w:val="18"/>
                <w:szCs w:val="18"/>
              </w:rPr>
            </w:pPr>
            <w:r>
              <w:rPr>
                <w:sz w:val="18"/>
                <w:szCs w:val="18"/>
              </w:rPr>
              <w:t>campañas</w:t>
            </w:r>
          </w:p>
        </w:tc>
      </w:tr>
      <w:tr w:rsidR="001441F6" w14:paraId="5ABE74B7" w14:textId="77777777" w:rsidTr="00252D1B">
        <w:tc>
          <w:tcPr>
            <w:tcW w:w="2156" w:type="dxa"/>
            <w:shd w:val="clear" w:color="auto" w:fill="EEECE1" w:themeFill="background2"/>
          </w:tcPr>
          <w:p w14:paraId="1EBAA028" w14:textId="77777777" w:rsidR="001441F6" w:rsidRPr="00365610" w:rsidRDefault="001441F6" w:rsidP="00252D1B">
            <w:pPr>
              <w:rPr>
                <w:b/>
                <w:sz w:val="18"/>
                <w:szCs w:val="18"/>
              </w:rPr>
            </w:pPr>
            <w:r>
              <w:rPr>
                <w:b/>
                <w:sz w:val="18"/>
                <w:szCs w:val="18"/>
              </w:rPr>
              <w:t>PROGRAMAS</w:t>
            </w:r>
          </w:p>
        </w:tc>
        <w:tc>
          <w:tcPr>
            <w:tcW w:w="1547" w:type="dxa"/>
          </w:tcPr>
          <w:p w14:paraId="789EE662" w14:textId="77777777" w:rsidR="001441F6" w:rsidRDefault="001441F6" w:rsidP="00252D1B">
            <w:pPr>
              <w:rPr>
                <w:sz w:val="18"/>
                <w:szCs w:val="18"/>
              </w:rPr>
            </w:pPr>
          </w:p>
        </w:tc>
        <w:tc>
          <w:tcPr>
            <w:tcW w:w="1952" w:type="dxa"/>
          </w:tcPr>
          <w:p w14:paraId="02F9453A" w14:textId="77777777" w:rsidR="001441F6" w:rsidRDefault="001441F6" w:rsidP="00252D1B">
            <w:pPr>
              <w:rPr>
                <w:sz w:val="18"/>
                <w:szCs w:val="18"/>
              </w:rPr>
            </w:pPr>
          </w:p>
        </w:tc>
        <w:tc>
          <w:tcPr>
            <w:tcW w:w="1898" w:type="dxa"/>
          </w:tcPr>
          <w:p w14:paraId="2FE16CDB" w14:textId="77777777" w:rsidR="001441F6" w:rsidRDefault="001441F6" w:rsidP="00252D1B">
            <w:pPr>
              <w:rPr>
                <w:sz w:val="18"/>
                <w:szCs w:val="18"/>
              </w:rPr>
            </w:pPr>
          </w:p>
        </w:tc>
        <w:tc>
          <w:tcPr>
            <w:tcW w:w="1808" w:type="dxa"/>
          </w:tcPr>
          <w:p w14:paraId="7619DC88" w14:textId="77777777" w:rsidR="001441F6" w:rsidRDefault="001441F6" w:rsidP="00252D1B">
            <w:pPr>
              <w:rPr>
                <w:sz w:val="18"/>
                <w:szCs w:val="18"/>
              </w:rPr>
            </w:pPr>
          </w:p>
        </w:tc>
        <w:tc>
          <w:tcPr>
            <w:tcW w:w="1815" w:type="dxa"/>
          </w:tcPr>
          <w:p w14:paraId="592E4F7B" w14:textId="77777777" w:rsidR="001441F6" w:rsidRDefault="001441F6" w:rsidP="00252D1B">
            <w:pPr>
              <w:rPr>
                <w:sz w:val="18"/>
                <w:szCs w:val="18"/>
              </w:rPr>
            </w:pPr>
          </w:p>
        </w:tc>
        <w:tc>
          <w:tcPr>
            <w:tcW w:w="1808" w:type="dxa"/>
          </w:tcPr>
          <w:p w14:paraId="60AC081C" w14:textId="77777777" w:rsidR="001441F6" w:rsidRDefault="001441F6" w:rsidP="00252D1B">
            <w:pPr>
              <w:rPr>
                <w:sz w:val="18"/>
                <w:szCs w:val="18"/>
              </w:rPr>
            </w:pPr>
          </w:p>
        </w:tc>
        <w:tc>
          <w:tcPr>
            <w:tcW w:w="1808" w:type="dxa"/>
          </w:tcPr>
          <w:p w14:paraId="42BFFFA0" w14:textId="77777777" w:rsidR="001441F6" w:rsidRDefault="001441F6" w:rsidP="00252D1B">
            <w:pPr>
              <w:rPr>
                <w:sz w:val="18"/>
                <w:szCs w:val="18"/>
              </w:rPr>
            </w:pPr>
          </w:p>
        </w:tc>
      </w:tr>
      <w:tr w:rsidR="001441F6" w14:paraId="57DEF0BE" w14:textId="77777777" w:rsidTr="00252D1B">
        <w:tc>
          <w:tcPr>
            <w:tcW w:w="2156" w:type="dxa"/>
          </w:tcPr>
          <w:p w14:paraId="57907748" w14:textId="77777777" w:rsidR="001441F6" w:rsidRDefault="001441F6" w:rsidP="00252D1B">
            <w:pPr>
              <w:rPr>
                <w:sz w:val="18"/>
                <w:szCs w:val="18"/>
              </w:rPr>
            </w:pPr>
            <w:r>
              <w:rPr>
                <w:sz w:val="18"/>
                <w:szCs w:val="18"/>
              </w:rPr>
              <w:t>Centrado en grupos de población</w:t>
            </w:r>
          </w:p>
        </w:tc>
        <w:tc>
          <w:tcPr>
            <w:tcW w:w="1547" w:type="dxa"/>
          </w:tcPr>
          <w:p w14:paraId="5C3CE716" w14:textId="77777777" w:rsidR="001441F6" w:rsidRDefault="001441F6" w:rsidP="00252D1B">
            <w:pPr>
              <w:rPr>
                <w:sz w:val="18"/>
                <w:szCs w:val="18"/>
              </w:rPr>
            </w:pPr>
            <w:r>
              <w:rPr>
                <w:sz w:val="18"/>
                <w:szCs w:val="18"/>
              </w:rPr>
              <w:t>Sí: A (jóvenes, capacidades especiales, desocupados larga duración)</w:t>
            </w:r>
          </w:p>
        </w:tc>
        <w:tc>
          <w:tcPr>
            <w:tcW w:w="1952" w:type="dxa"/>
          </w:tcPr>
          <w:p w14:paraId="277A2058" w14:textId="77777777" w:rsidR="001441F6" w:rsidRDefault="001441F6" w:rsidP="00252D1B">
            <w:pPr>
              <w:rPr>
                <w:sz w:val="18"/>
                <w:szCs w:val="18"/>
              </w:rPr>
            </w:pPr>
            <w:r>
              <w:rPr>
                <w:sz w:val="18"/>
                <w:szCs w:val="18"/>
              </w:rPr>
              <w:t>Sí: A (informales, precarios, mujeres)</w:t>
            </w:r>
          </w:p>
        </w:tc>
        <w:tc>
          <w:tcPr>
            <w:tcW w:w="1898" w:type="dxa"/>
          </w:tcPr>
          <w:p w14:paraId="13379249" w14:textId="77777777" w:rsidR="001441F6" w:rsidRDefault="001441F6" w:rsidP="00252D1B">
            <w:pPr>
              <w:rPr>
                <w:sz w:val="18"/>
                <w:szCs w:val="18"/>
              </w:rPr>
            </w:pPr>
            <w:r>
              <w:rPr>
                <w:sz w:val="18"/>
                <w:szCs w:val="18"/>
              </w:rPr>
              <w:t>Sí: A (informales, domésticos, desocupados)</w:t>
            </w:r>
          </w:p>
        </w:tc>
        <w:tc>
          <w:tcPr>
            <w:tcW w:w="1808" w:type="dxa"/>
          </w:tcPr>
          <w:p w14:paraId="55F3A47A" w14:textId="77777777" w:rsidR="001441F6" w:rsidRDefault="001441F6" w:rsidP="00252D1B">
            <w:pPr>
              <w:rPr>
                <w:sz w:val="18"/>
                <w:szCs w:val="18"/>
              </w:rPr>
            </w:pPr>
            <w:r>
              <w:rPr>
                <w:sz w:val="18"/>
                <w:szCs w:val="18"/>
              </w:rPr>
              <w:t>Sí: A (doméstico, monotributistas)</w:t>
            </w:r>
          </w:p>
        </w:tc>
        <w:tc>
          <w:tcPr>
            <w:tcW w:w="1815" w:type="dxa"/>
          </w:tcPr>
          <w:p w14:paraId="7EF9D1BB" w14:textId="77777777" w:rsidR="001441F6" w:rsidRDefault="001441F6" w:rsidP="00252D1B">
            <w:pPr>
              <w:rPr>
                <w:sz w:val="18"/>
                <w:szCs w:val="18"/>
              </w:rPr>
            </w:pPr>
            <w:r>
              <w:rPr>
                <w:sz w:val="18"/>
                <w:szCs w:val="18"/>
              </w:rPr>
              <w:t>Sí: A (SUMA 70, Empleos especiales, grupos de edad y género en general)</w:t>
            </w:r>
          </w:p>
        </w:tc>
        <w:tc>
          <w:tcPr>
            <w:tcW w:w="1808" w:type="dxa"/>
          </w:tcPr>
          <w:p w14:paraId="50EFE4F9" w14:textId="77777777" w:rsidR="001441F6" w:rsidRPr="00864A85" w:rsidRDefault="001441F6" w:rsidP="00252D1B">
            <w:pPr>
              <w:rPr>
                <w:sz w:val="18"/>
                <w:szCs w:val="18"/>
              </w:rPr>
            </w:pPr>
            <w:r w:rsidRPr="00864A85">
              <w:rPr>
                <w:sz w:val="18"/>
                <w:szCs w:val="18"/>
              </w:rPr>
              <w:t>SI: A (adultos, extensión educativa a jóvenes, Educ. integral,  becas, movilidad)</w:t>
            </w:r>
          </w:p>
          <w:p w14:paraId="1E300FFB" w14:textId="77777777" w:rsidR="001441F6" w:rsidRPr="007B576E" w:rsidRDefault="001441F6" w:rsidP="00252D1B">
            <w:pPr>
              <w:rPr>
                <w:color w:val="FF0000"/>
                <w:sz w:val="18"/>
                <w:szCs w:val="18"/>
              </w:rPr>
            </w:pPr>
          </w:p>
        </w:tc>
        <w:tc>
          <w:tcPr>
            <w:tcW w:w="1808" w:type="dxa"/>
          </w:tcPr>
          <w:p w14:paraId="34E1DCC3" w14:textId="77777777" w:rsidR="001441F6" w:rsidRDefault="001441F6" w:rsidP="00252D1B">
            <w:pPr>
              <w:rPr>
                <w:sz w:val="18"/>
                <w:szCs w:val="18"/>
              </w:rPr>
            </w:pPr>
            <w:r>
              <w:rPr>
                <w:sz w:val="18"/>
                <w:szCs w:val="18"/>
              </w:rPr>
              <w:t>Sí: A (comunidades indígenas, protección integral de NNyA, Mujeres)</w:t>
            </w:r>
          </w:p>
        </w:tc>
      </w:tr>
      <w:tr w:rsidR="001441F6" w14:paraId="28232687" w14:textId="77777777" w:rsidTr="00252D1B">
        <w:trPr>
          <w:trHeight w:val="897"/>
        </w:trPr>
        <w:tc>
          <w:tcPr>
            <w:tcW w:w="2156" w:type="dxa"/>
            <w:shd w:val="clear" w:color="auto" w:fill="EEECE1" w:themeFill="background2"/>
          </w:tcPr>
          <w:p w14:paraId="1EC682F1" w14:textId="77777777" w:rsidR="001441F6" w:rsidRDefault="001441F6" w:rsidP="00252D1B">
            <w:pPr>
              <w:rPr>
                <w:sz w:val="18"/>
                <w:szCs w:val="18"/>
              </w:rPr>
            </w:pPr>
            <w:r>
              <w:rPr>
                <w:sz w:val="18"/>
                <w:szCs w:val="18"/>
              </w:rPr>
              <w:t>Centrado en beneficios o necesidades</w:t>
            </w:r>
          </w:p>
        </w:tc>
        <w:tc>
          <w:tcPr>
            <w:tcW w:w="1547" w:type="dxa"/>
            <w:shd w:val="clear" w:color="auto" w:fill="EEECE1" w:themeFill="background2"/>
          </w:tcPr>
          <w:p w14:paraId="409A09D4" w14:textId="77777777" w:rsidR="001441F6" w:rsidRDefault="001441F6" w:rsidP="00252D1B">
            <w:pPr>
              <w:rPr>
                <w:sz w:val="18"/>
                <w:szCs w:val="18"/>
              </w:rPr>
            </w:pPr>
            <w:r>
              <w:rPr>
                <w:sz w:val="18"/>
                <w:szCs w:val="18"/>
              </w:rPr>
              <w:t>Sí: A</w:t>
            </w:r>
          </w:p>
        </w:tc>
        <w:tc>
          <w:tcPr>
            <w:tcW w:w="1952" w:type="dxa"/>
            <w:shd w:val="clear" w:color="auto" w:fill="EEECE1" w:themeFill="background2"/>
          </w:tcPr>
          <w:p w14:paraId="7077DF48" w14:textId="77777777" w:rsidR="001441F6" w:rsidRDefault="001441F6" w:rsidP="00252D1B">
            <w:pPr>
              <w:rPr>
                <w:sz w:val="18"/>
                <w:szCs w:val="18"/>
              </w:rPr>
            </w:pPr>
            <w:r>
              <w:rPr>
                <w:sz w:val="18"/>
                <w:szCs w:val="18"/>
              </w:rPr>
              <w:t>No</w:t>
            </w:r>
          </w:p>
        </w:tc>
        <w:tc>
          <w:tcPr>
            <w:tcW w:w="1898" w:type="dxa"/>
            <w:shd w:val="clear" w:color="auto" w:fill="EEECE1" w:themeFill="background2"/>
          </w:tcPr>
          <w:p w14:paraId="41BDC21F" w14:textId="77777777" w:rsidR="001441F6" w:rsidRDefault="001441F6" w:rsidP="00252D1B">
            <w:pPr>
              <w:rPr>
                <w:sz w:val="18"/>
                <w:szCs w:val="18"/>
              </w:rPr>
            </w:pPr>
            <w:r>
              <w:rPr>
                <w:sz w:val="18"/>
                <w:szCs w:val="18"/>
              </w:rPr>
              <w:t>No</w:t>
            </w:r>
          </w:p>
        </w:tc>
        <w:tc>
          <w:tcPr>
            <w:tcW w:w="1808" w:type="dxa"/>
            <w:shd w:val="clear" w:color="auto" w:fill="EEECE1" w:themeFill="background2"/>
          </w:tcPr>
          <w:p w14:paraId="27CCE792" w14:textId="77777777" w:rsidR="001441F6" w:rsidRDefault="001441F6" w:rsidP="00252D1B">
            <w:pPr>
              <w:rPr>
                <w:sz w:val="18"/>
                <w:szCs w:val="18"/>
              </w:rPr>
            </w:pPr>
            <w:r>
              <w:rPr>
                <w:sz w:val="18"/>
                <w:szCs w:val="18"/>
              </w:rPr>
              <w:t>No (la existente se viabilizó por  garantía de salud)</w:t>
            </w:r>
          </w:p>
        </w:tc>
        <w:tc>
          <w:tcPr>
            <w:tcW w:w="1815" w:type="dxa"/>
            <w:shd w:val="clear" w:color="auto" w:fill="EEECE1" w:themeFill="background2"/>
          </w:tcPr>
          <w:p w14:paraId="7ADC8A60" w14:textId="77777777" w:rsidR="001441F6" w:rsidRDefault="001441F6" w:rsidP="00252D1B">
            <w:pPr>
              <w:rPr>
                <w:sz w:val="18"/>
                <w:szCs w:val="18"/>
              </w:rPr>
            </w:pPr>
            <w:r>
              <w:rPr>
                <w:sz w:val="18"/>
                <w:szCs w:val="18"/>
              </w:rPr>
              <w:t>Sí (enfermedades especiales: prevenibles, hábitos)</w:t>
            </w:r>
          </w:p>
        </w:tc>
        <w:tc>
          <w:tcPr>
            <w:tcW w:w="1808" w:type="dxa"/>
            <w:shd w:val="clear" w:color="auto" w:fill="EEECE1" w:themeFill="background2"/>
          </w:tcPr>
          <w:p w14:paraId="79B589DF" w14:textId="77777777" w:rsidR="001441F6" w:rsidRPr="00864A85" w:rsidRDefault="001441F6" w:rsidP="00252D1B">
            <w:pPr>
              <w:rPr>
                <w:sz w:val="18"/>
                <w:szCs w:val="18"/>
              </w:rPr>
            </w:pPr>
            <w:r w:rsidRPr="00864A85">
              <w:rPr>
                <w:sz w:val="18"/>
                <w:szCs w:val="18"/>
              </w:rPr>
              <w:t>S</w:t>
            </w:r>
            <w:r>
              <w:rPr>
                <w:sz w:val="18"/>
                <w:szCs w:val="18"/>
              </w:rPr>
              <w:t>í</w:t>
            </w:r>
            <w:r w:rsidRPr="00864A85">
              <w:rPr>
                <w:sz w:val="18"/>
                <w:szCs w:val="18"/>
              </w:rPr>
              <w:t>: A (libros, material didáctico, ampliación acceso a bienes culturales)</w:t>
            </w:r>
          </w:p>
        </w:tc>
        <w:tc>
          <w:tcPr>
            <w:tcW w:w="1808" w:type="dxa"/>
            <w:shd w:val="clear" w:color="auto" w:fill="EEECE1" w:themeFill="background2"/>
          </w:tcPr>
          <w:p w14:paraId="447719BC" w14:textId="77777777" w:rsidR="001441F6" w:rsidRDefault="001441F6" w:rsidP="00252D1B">
            <w:pPr>
              <w:rPr>
                <w:sz w:val="18"/>
                <w:szCs w:val="18"/>
              </w:rPr>
            </w:pPr>
            <w:r>
              <w:rPr>
                <w:sz w:val="18"/>
                <w:szCs w:val="18"/>
              </w:rPr>
              <w:t>Sí: M/A Intervenciones comunitarias</w:t>
            </w:r>
          </w:p>
        </w:tc>
      </w:tr>
      <w:tr w:rsidR="001441F6" w14:paraId="00F2C469" w14:textId="77777777" w:rsidTr="00252D1B">
        <w:tc>
          <w:tcPr>
            <w:tcW w:w="2156" w:type="dxa"/>
          </w:tcPr>
          <w:p w14:paraId="6789CBBA" w14:textId="77777777" w:rsidR="001441F6" w:rsidRDefault="001441F6" w:rsidP="00252D1B">
            <w:pPr>
              <w:rPr>
                <w:sz w:val="18"/>
                <w:szCs w:val="18"/>
              </w:rPr>
            </w:pPr>
            <w:r>
              <w:rPr>
                <w:sz w:val="18"/>
                <w:szCs w:val="18"/>
              </w:rPr>
              <w:t>Aliados/Participación</w:t>
            </w:r>
          </w:p>
        </w:tc>
        <w:tc>
          <w:tcPr>
            <w:tcW w:w="1547" w:type="dxa"/>
          </w:tcPr>
          <w:p w14:paraId="2C5991BD" w14:textId="77777777" w:rsidR="001441F6" w:rsidRDefault="001441F6" w:rsidP="00252D1B">
            <w:pPr>
              <w:rPr>
                <w:sz w:val="18"/>
                <w:szCs w:val="18"/>
              </w:rPr>
            </w:pPr>
            <w:r>
              <w:rPr>
                <w:sz w:val="18"/>
                <w:szCs w:val="18"/>
              </w:rPr>
              <w:t>Sí, B</w:t>
            </w:r>
          </w:p>
        </w:tc>
        <w:tc>
          <w:tcPr>
            <w:tcW w:w="1952" w:type="dxa"/>
          </w:tcPr>
          <w:p w14:paraId="0338BA1C" w14:textId="77777777" w:rsidR="001441F6" w:rsidRDefault="001441F6" w:rsidP="00252D1B">
            <w:pPr>
              <w:rPr>
                <w:sz w:val="18"/>
                <w:szCs w:val="18"/>
              </w:rPr>
            </w:pPr>
            <w:r>
              <w:rPr>
                <w:sz w:val="18"/>
                <w:szCs w:val="18"/>
              </w:rPr>
              <w:t>M – gobiernos pciales y locales</w:t>
            </w:r>
          </w:p>
        </w:tc>
        <w:tc>
          <w:tcPr>
            <w:tcW w:w="1898" w:type="dxa"/>
          </w:tcPr>
          <w:p w14:paraId="32486B5C" w14:textId="77777777" w:rsidR="001441F6" w:rsidRDefault="001441F6" w:rsidP="00252D1B">
            <w:pPr>
              <w:rPr>
                <w:sz w:val="18"/>
                <w:szCs w:val="18"/>
              </w:rPr>
            </w:pPr>
            <w:r>
              <w:rPr>
                <w:sz w:val="18"/>
                <w:szCs w:val="18"/>
              </w:rPr>
              <w:t>B – gobiernos pciales y locales</w:t>
            </w:r>
          </w:p>
        </w:tc>
        <w:tc>
          <w:tcPr>
            <w:tcW w:w="1808" w:type="dxa"/>
          </w:tcPr>
          <w:p w14:paraId="1F4B8231" w14:textId="77777777" w:rsidR="001441F6" w:rsidRDefault="001441F6" w:rsidP="00252D1B">
            <w:pPr>
              <w:rPr>
                <w:sz w:val="18"/>
                <w:szCs w:val="18"/>
              </w:rPr>
            </w:pPr>
            <w:r>
              <w:rPr>
                <w:sz w:val="18"/>
                <w:szCs w:val="18"/>
              </w:rPr>
              <w:t>B- organizaciones gremiales</w:t>
            </w:r>
          </w:p>
        </w:tc>
        <w:tc>
          <w:tcPr>
            <w:tcW w:w="1815" w:type="dxa"/>
          </w:tcPr>
          <w:p w14:paraId="2ECE4D25" w14:textId="77777777" w:rsidR="001441F6" w:rsidRDefault="001441F6" w:rsidP="00252D1B">
            <w:pPr>
              <w:rPr>
                <w:sz w:val="18"/>
                <w:szCs w:val="18"/>
              </w:rPr>
            </w:pPr>
            <w:r>
              <w:rPr>
                <w:sz w:val="18"/>
                <w:szCs w:val="18"/>
              </w:rPr>
              <w:t xml:space="preserve">Organismos de gobierno (interjurisdiccional) </w:t>
            </w:r>
          </w:p>
        </w:tc>
        <w:tc>
          <w:tcPr>
            <w:tcW w:w="1808" w:type="dxa"/>
          </w:tcPr>
          <w:p w14:paraId="3B7258E3" w14:textId="77777777" w:rsidR="001441F6" w:rsidRDefault="001441F6" w:rsidP="00252D1B">
            <w:pPr>
              <w:rPr>
                <w:sz w:val="18"/>
                <w:szCs w:val="18"/>
              </w:rPr>
            </w:pPr>
            <w:r>
              <w:rPr>
                <w:sz w:val="18"/>
                <w:szCs w:val="18"/>
              </w:rPr>
              <w:t>M :</w:t>
            </w:r>
            <w:r w:rsidRPr="00226E79">
              <w:rPr>
                <w:sz w:val="18"/>
                <w:szCs w:val="18"/>
              </w:rPr>
              <w:t xml:space="preserve"> </w:t>
            </w:r>
            <w:r>
              <w:rPr>
                <w:sz w:val="18"/>
                <w:szCs w:val="18"/>
              </w:rPr>
              <w:t>OOSS</w:t>
            </w:r>
          </w:p>
          <w:p w14:paraId="2CC8CB24" w14:textId="77777777" w:rsidR="001441F6" w:rsidRPr="00226E79" w:rsidRDefault="001441F6" w:rsidP="00252D1B">
            <w:pPr>
              <w:rPr>
                <w:sz w:val="18"/>
                <w:szCs w:val="18"/>
              </w:rPr>
            </w:pPr>
            <w:r>
              <w:rPr>
                <w:sz w:val="18"/>
                <w:szCs w:val="18"/>
              </w:rPr>
              <w:t>Gob. pciales</w:t>
            </w:r>
          </w:p>
        </w:tc>
        <w:tc>
          <w:tcPr>
            <w:tcW w:w="1808" w:type="dxa"/>
          </w:tcPr>
          <w:p w14:paraId="2E25F347" w14:textId="77777777" w:rsidR="001441F6" w:rsidRDefault="001441F6" w:rsidP="00252D1B">
            <w:pPr>
              <w:rPr>
                <w:sz w:val="18"/>
                <w:szCs w:val="18"/>
              </w:rPr>
            </w:pPr>
            <w:r>
              <w:rPr>
                <w:sz w:val="18"/>
                <w:szCs w:val="18"/>
              </w:rPr>
              <w:t>Sì: A OOSS</w:t>
            </w:r>
          </w:p>
        </w:tc>
      </w:tr>
      <w:tr w:rsidR="001441F6" w14:paraId="66C6BA23" w14:textId="77777777" w:rsidTr="00252D1B">
        <w:tc>
          <w:tcPr>
            <w:tcW w:w="2156" w:type="dxa"/>
            <w:shd w:val="clear" w:color="auto" w:fill="EEECE1" w:themeFill="background2"/>
          </w:tcPr>
          <w:p w14:paraId="7C65ACE8" w14:textId="77777777" w:rsidR="001441F6" w:rsidRPr="00365610" w:rsidRDefault="001441F6" w:rsidP="00252D1B">
            <w:pPr>
              <w:rPr>
                <w:b/>
                <w:sz w:val="18"/>
                <w:szCs w:val="18"/>
              </w:rPr>
            </w:pPr>
            <w:r w:rsidRPr="00365610">
              <w:rPr>
                <w:b/>
                <w:sz w:val="18"/>
                <w:szCs w:val="18"/>
              </w:rPr>
              <w:t>ACCIONES Y ESTRATEGIAS</w:t>
            </w:r>
          </w:p>
        </w:tc>
        <w:tc>
          <w:tcPr>
            <w:tcW w:w="1547" w:type="dxa"/>
            <w:shd w:val="clear" w:color="auto" w:fill="EEECE1" w:themeFill="background2"/>
          </w:tcPr>
          <w:p w14:paraId="63A74C65" w14:textId="77777777" w:rsidR="001441F6" w:rsidRDefault="001441F6" w:rsidP="00252D1B">
            <w:pPr>
              <w:rPr>
                <w:sz w:val="18"/>
                <w:szCs w:val="18"/>
              </w:rPr>
            </w:pPr>
          </w:p>
        </w:tc>
        <w:tc>
          <w:tcPr>
            <w:tcW w:w="1952" w:type="dxa"/>
            <w:shd w:val="clear" w:color="auto" w:fill="EEECE1" w:themeFill="background2"/>
          </w:tcPr>
          <w:p w14:paraId="242ABDB2" w14:textId="77777777" w:rsidR="001441F6" w:rsidRDefault="001441F6" w:rsidP="00252D1B">
            <w:pPr>
              <w:rPr>
                <w:sz w:val="18"/>
                <w:szCs w:val="18"/>
              </w:rPr>
            </w:pPr>
          </w:p>
        </w:tc>
        <w:tc>
          <w:tcPr>
            <w:tcW w:w="1898" w:type="dxa"/>
            <w:shd w:val="clear" w:color="auto" w:fill="EEECE1" w:themeFill="background2"/>
          </w:tcPr>
          <w:p w14:paraId="16BC2AEF" w14:textId="77777777" w:rsidR="001441F6" w:rsidRDefault="001441F6" w:rsidP="00252D1B">
            <w:pPr>
              <w:rPr>
                <w:sz w:val="18"/>
                <w:szCs w:val="18"/>
              </w:rPr>
            </w:pPr>
          </w:p>
        </w:tc>
        <w:tc>
          <w:tcPr>
            <w:tcW w:w="1808" w:type="dxa"/>
            <w:shd w:val="clear" w:color="auto" w:fill="EEECE1" w:themeFill="background2"/>
          </w:tcPr>
          <w:p w14:paraId="4BC7E16C" w14:textId="77777777" w:rsidR="001441F6" w:rsidRDefault="001441F6" w:rsidP="00252D1B">
            <w:pPr>
              <w:rPr>
                <w:sz w:val="18"/>
                <w:szCs w:val="18"/>
              </w:rPr>
            </w:pPr>
          </w:p>
        </w:tc>
        <w:tc>
          <w:tcPr>
            <w:tcW w:w="1815" w:type="dxa"/>
            <w:shd w:val="clear" w:color="auto" w:fill="EEECE1" w:themeFill="background2"/>
          </w:tcPr>
          <w:p w14:paraId="4E1FDAD4" w14:textId="77777777" w:rsidR="001441F6" w:rsidRDefault="001441F6" w:rsidP="00252D1B">
            <w:pPr>
              <w:rPr>
                <w:sz w:val="18"/>
                <w:szCs w:val="18"/>
              </w:rPr>
            </w:pPr>
          </w:p>
        </w:tc>
        <w:tc>
          <w:tcPr>
            <w:tcW w:w="1808" w:type="dxa"/>
            <w:shd w:val="clear" w:color="auto" w:fill="EEECE1" w:themeFill="background2"/>
          </w:tcPr>
          <w:p w14:paraId="371AD4C0" w14:textId="77777777" w:rsidR="001441F6" w:rsidRDefault="001441F6" w:rsidP="00252D1B">
            <w:pPr>
              <w:rPr>
                <w:sz w:val="18"/>
                <w:szCs w:val="18"/>
              </w:rPr>
            </w:pPr>
          </w:p>
        </w:tc>
        <w:tc>
          <w:tcPr>
            <w:tcW w:w="1808" w:type="dxa"/>
            <w:shd w:val="clear" w:color="auto" w:fill="EEECE1" w:themeFill="background2"/>
          </w:tcPr>
          <w:p w14:paraId="1B60AC82" w14:textId="77777777" w:rsidR="001441F6" w:rsidRDefault="001441F6" w:rsidP="00252D1B">
            <w:pPr>
              <w:rPr>
                <w:sz w:val="18"/>
                <w:szCs w:val="18"/>
              </w:rPr>
            </w:pPr>
          </w:p>
        </w:tc>
      </w:tr>
      <w:tr w:rsidR="001441F6" w14:paraId="756976DA" w14:textId="77777777" w:rsidTr="00252D1B">
        <w:tc>
          <w:tcPr>
            <w:tcW w:w="2156" w:type="dxa"/>
          </w:tcPr>
          <w:p w14:paraId="70DFB26B" w14:textId="77777777" w:rsidR="001441F6" w:rsidRDefault="001441F6" w:rsidP="00252D1B">
            <w:pPr>
              <w:jc w:val="right"/>
              <w:rPr>
                <w:sz w:val="18"/>
                <w:szCs w:val="18"/>
              </w:rPr>
            </w:pPr>
            <w:r>
              <w:rPr>
                <w:sz w:val="18"/>
                <w:szCs w:val="18"/>
              </w:rPr>
              <w:t xml:space="preserve">Provisión pública </w:t>
            </w:r>
          </w:p>
          <w:p w14:paraId="50CCADAE" w14:textId="77777777" w:rsidR="001441F6" w:rsidRDefault="001441F6" w:rsidP="00252D1B">
            <w:pPr>
              <w:jc w:val="right"/>
              <w:rPr>
                <w:sz w:val="18"/>
                <w:szCs w:val="18"/>
              </w:rPr>
            </w:pPr>
            <w:r>
              <w:rPr>
                <w:sz w:val="18"/>
                <w:szCs w:val="18"/>
              </w:rPr>
              <w:t>en especies</w:t>
            </w:r>
          </w:p>
        </w:tc>
        <w:tc>
          <w:tcPr>
            <w:tcW w:w="1547" w:type="dxa"/>
          </w:tcPr>
          <w:p w14:paraId="572FBAF6" w14:textId="77777777" w:rsidR="001441F6" w:rsidRDefault="001441F6" w:rsidP="00252D1B">
            <w:pPr>
              <w:rPr>
                <w:sz w:val="18"/>
                <w:szCs w:val="18"/>
              </w:rPr>
            </w:pPr>
            <w:r>
              <w:rPr>
                <w:sz w:val="18"/>
                <w:szCs w:val="18"/>
              </w:rPr>
              <w:t>No</w:t>
            </w:r>
          </w:p>
        </w:tc>
        <w:tc>
          <w:tcPr>
            <w:tcW w:w="1952" w:type="dxa"/>
          </w:tcPr>
          <w:p w14:paraId="5D244589" w14:textId="77777777" w:rsidR="001441F6" w:rsidRDefault="001441F6" w:rsidP="00252D1B">
            <w:pPr>
              <w:rPr>
                <w:sz w:val="18"/>
                <w:szCs w:val="18"/>
              </w:rPr>
            </w:pPr>
            <w:r>
              <w:rPr>
                <w:sz w:val="18"/>
                <w:szCs w:val="18"/>
              </w:rPr>
              <w:t>Sí: ++ (CONECTAR IGUALDAD)</w:t>
            </w:r>
          </w:p>
        </w:tc>
        <w:tc>
          <w:tcPr>
            <w:tcW w:w="1898" w:type="dxa"/>
          </w:tcPr>
          <w:p w14:paraId="538C6E43" w14:textId="77777777" w:rsidR="001441F6" w:rsidRDefault="001441F6" w:rsidP="00252D1B">
            <w:pPr>
              <w:rPr>
                <w:sz w:val="18"/>
                <w:szCs w:val="18"/>
              </w:rPr>
            </w:pPr>
            <w:r>
              <w:rPr>
                <w:sz w:val="18"/>
                <w:szCs w:val="18"/>
              </w:rPr>
              <w:t>NO</w:t>
            </w:r>
          </w:p>
        </w:tc>
        <w:tc>
          <w:tcPr>
            <w:tcW w:w="1808" w:type="dxa"/>
          </w:tcPr>
          <w:p w14:paraId="4D6EE3D8" w14:textId="77777777" w:rsidR="001441F6" w:rsidRDefault="001441F6" w:rsidP="00252D1B">
            <w:pPr>
              <w:rPr>
                <w:sz w:val="18"/>
                <w:szCs w:val="18"/>
              </w:rPr>
            </w:pPr>
            <w:r>
              <w:rPr>
                <w:sz w:val="18"/>
                <w:szCs w:val="18"/>
              </w:rPr>
              <w:t>No</w:t>
            </w:r>
          </w:p>
        </w:tc>
        <w:tc>
          <w:tcPr>
            <w:tcW w:w="1815" w:type="dxa"/>
          </w:tcPr>
          <w:p w14:paraId="3227B7B3" w14:textId="77777777" w:rsidR="001441F6" w:rsidRDefault="001441F6" w:rsidP="00252D1B">
            <w:pPr>
              <w:rPr>
                <w:sz w:val="18"/>
                <w:szCs w:val="18"/>
              </w:rPr>
            </w:pPr>
            <w:r>
              <w:rPr>
                <w:sz w:val="18"/>
                <w:szCs w:val="18"/>
              </w:rPr>
              <w:t>Sí: ++</w:t>
            </w:r>
          </w:p>
        </w:tc>
        <w:tc>
          <w:tcPr>
            <w:tcW w:w="1808" w:type="dxa"/>
          </w:tcPr>
          <w:p w14:paraId="38BF2CE3" w14:textId="77777777" w:rsidR="001441F6" w:rsidRDefault="001441F6" w:rsidP="00252D1B">
            <w:pPr>
              <w:rPr>
                <w:sz w:val="18"/>
                <w:szCs w:val="18"/>
              </w:rPr>
            </w:pPr>
            <w:r>
              <w:rPr>
                <w:sz w:val="18"/>
                <w:szCs w:val="18"/>
              </w:rPr>
              <w:t>Sí: ++ (infraestructura escolar, libros, comedores escolares, material)</w:t>
            </w:r>
          </w:p>
        </w:tc>
        <w:tc>
          <w:tcPr>
            <w:tcW w:w="1808" w:type="dxa"/>
          </w:tcPr>
          <w:p w14:paraId="1929D8A8" w14:textId="77777777" w:rsidR="001441F6" w:rsidRDefault="001441F6" w:rsidP="00252D1B">
            <w:pPr>
              <w:rPr>
                <w:sz w:val="18"/>
                <w:szCs w:val="18"/>
              </w:rPr>
            </w:pPr>
            <w:r>
              <w:rPr>
                <w:sz w:val="18"/>
                <w:szCs w:val="18"/>
              </w:rPr>
              <w:t>Sí: B</w:t>
            </w:r>
          </w:p>
        </w:tc>
      </w:tr>
      <w:tr w:rsidR="001441F6" w14:paraId="1BA4B372" w14:textId="77777777" w:rsidTr="00252D1B">
        <w:tc>
          <w:tcPr>
            <w:tcW w:w="2156" w:type="dxa"/>
            <w:shd w:val="clear" w:color="auto" w:fill="EEECE1" w:themeFill="background2"/>
          </w:tcPr>
          <w:p w14:paraId="6A017085" w14:textId="77777777" w:rsidR="001441F6" w:rsidRDefault="001441F6" w:rsidP="00252D1B">
            <w:pPr>
              <w:jc w:val="right"/>
              <w:rPr>
                <w:sz w:val="18"/>
                <w:szCs w:val="18"/>
              </w:rPr>
            </w:pPr>
            <w:r>
              <w:rPr>
                <w:sz w:val="18"/>
                <w:szCs w:val="18"/>
              </w:rPr>
              <w:t>Regulación sector privado</w:t>
            </w:r>
          </w:p>
        </w:tc>
        <w:tc>
          <w:tcPr>
            <w:tcW w:w="1547" w:type="dxa"/>
            <w:shd w:val="clear" w:color="auto" w:fill="EEECE1" w:themeFill="background2"/>
          </w:tcPr>
          <w:p w14:paraId="54468ABD" w14:textId="77777777" w:rsidR="001441F6" w:rsidRDefault="001441F6" w:rsidP="00252D1B">
            <w:pPr>
              <w:rPr>
                <w:sz w:val="18"/>
                <w:szCs w:val="18"/>
              </w:rPr>
            </w:pPr>
            <w:r>
              <w:rPr>
                <w:sz w:val="18"/>
                <w:szCs w:val="18"/>
              </w:rPr>
              <w:t xml:space="preserve">Sí: Paritarias </w:t>
            </w:r>
          </w:p>
          <w:p w14:paraId="31454822" w14:textId="77777777" w:rsidR="001441F6" w:rsidRDefault="001441F6" w:rsidP="00252D1B">
            <w:pPr>
              <w:rPr>
                <w:sz w:val="18"/>
                <w:szCs w:val="18"/>
              </w:rPr>
            </w:pPr>
            <w:r>
              <w:rPr>
                <w:sz w:val="18"/>
                <w:szCs w:val="18"/>
              </w:rPr>
              <w:t xml:space="preserve"> Consejo del Salario</w:t>
            </w:r>
          </w:p>
        </w:tc>
        <w:tc>
          <w:tcPr>
            <w:tcW w:w="1952" w:type="dxa"/>
            <w:shd w:val="clear" w:color="auto" w:fill="EEECE1" w:themeFill="background2"/>
          </w:tcPr>
          <w:p w14:paraId="49ED012A" w14:textId="77777777" w:rsidR="001441F6" w:rsidRDefault="001441F6" w:rsidP="00252D1B">
            <w:pPr>
              <w:rPr>
                <w:sz w:val="18"/>
                <w:szCs w:val="18"/>
              </w:rPr>
            </w:pPr>
            <w:r>
              <w:rPr>
                <w:sz w:val="18"/>
                <w:szCs w:val="18"/>
              </w:rPr>
              <w:t>Sí: A (disolución de régimen de administración privada)</w:t>
            </w:r>
          </w:p>
        </w:tc>
        <w:tc>
          <w:tcPr>
            <w:tcW w:w="1898" w:type="dxa"/>
            <w:shd w:val="clear" w:color="auto" w:fill="EEECE1" w:themeFill="background2"/>
          </w:tcPr>
          <w:p w14:paraId="245286AB" w14:textId="77777777" w:rsidR="001441F6" w:rsidRDefault="001441F6" w:rsidP="00252D1B">
            <w:pPr>
              <w:rPr>
                <w:sz w:val="18"/>
                <w:szCs w:val="18"/>
              </w:rPr>
            </w:pPr>
            <w:r>
              <w:rPr>
                <w:sz w:val="18"/>
                <w:szCs w:val="18"/>
              </w:rPr>
              <w:t>No</w:t>
            </w:r>
          </w:p>
        </w:tc>
        <w:tc>
          <w:tcPr>
            <w:tcW w:w="1808" w:type="dxa"/>
            <w:shd w:val="clear" w:color="auto" w:fill="EEECE1" w:themeFill="background2"/>
          </w:tcPr>
          <w:p w14:paraId="0D0522DE" w14:textId="77777777" w:rsidR="001441F6" w:rsidRDefault="001441F6" w:rsidP="00252D1B">
            <w:pPr>
              <w:rPr>
                <w:sz w:val="18"/>
                <w:szCs w:val="18"/>
              </w:rPr>
            </w:pPr>
            <w:r>
              <w:rPr>
                <w:sz w:val="18"/>
                <w:szCs w:val="18"/>
              </w:rPr>
              <w:t>Sí (ley de medicina prepaga)</w:t>
            </w:r>
          </w:p>
        </w:tc>
        <w:tc>
          <w:tcPr>
            <w:tcW w:w="1815" w:type="dxa"/>
            <w:shd w:val="clear" w:color="auto" w:fill="EEECE1" w:themeFill="background2"/>
          </w:tcPr>
          <w:p w14:paraId="191762D6" w14:textId="77777777" w:rsidR="001441F6" w:rsidRDefault="001441F6" w:rsidP="00252D1B">
            <w:pPr>
              <w:rPr>
                <w:sz w:val="18"/>
                <w:szCs w:val="18"/>
              </w:rPr>
            </w:pPr>
            <w:r>
              <w:rPr>
                <w:sz w:val="18"/>
                <w:szCs w:val="18"/>
              </w:rPr>
              <w:t>Sí (y seguridad social en salud)</w:t>
            </w:r>
          </w:p>
        </w:tc>
        <w:tc>
          <w:tcPr>
            <w:tcW w:w="1808" w:type="dxa"/>
            <w:shd w:val="clear" w:color="auto" w:fill="EEECE1" w:themeFill="background2"/>
          </w:tcPr>
          <w:p w14:paraId="31376A75" w14:textId="77777777" w:rsidR="001441F6" w:rsidRPr="007B576E" w:rsidRDefault="001441F6" w:rsidP="00252D1B">
            <w:pPr>
              <w:rPr>
                <w:color w:val="FF0000"/>
                <w:sz w:val="18"/>
                <w:szCs w:val="18"/>
              </w:rPr>
            </w:pPr>
            <w:r>
              <w:rPr>
                <w:sz w:val="18"/>
                <w:szCs w:val="18"/>
              </w:rPr>
              <w:t>No</w:t>
            </w:r>
          </w:p>
        </w:tc>
        <w:tc>
          <w:tcPr>
            <w:tcW w:w="1808" w:type="dxa"/>
            <w:shd w:val="clear" w:color="auto" w:fill="EEECE1" w:themeFill="background2"/>
          </w:tcPr>
          <w:p w14:paraId="35FBE59E" w14:textId="77777777" w:rsidR="001441F6" w:rsidRDefault="001441F6" w:rsidP="00252D1B">
            <w:pPr>
              <w:rPr>
                <w:sz w:val="18"/>
                <w:szCs w:val="18"/>
              </w:rPr>
            </w:pPr>
            <w:r>
              <w:rPr>
                <w:sz w:val="18"/>
                <w:szCs w:val="18"/>
              </w:rPr>
              <w:t>Sí (sector privado no mercantil – ONGs)</w:t>
            </w:r>
          </w:p>
        </w:tc>
      </w:tr>
      <w:tr w:rsidR="001441F6" w14:paraId="1A45D321" w14:textId="77777777" w:rsidTr="00252D1B">
        <w:tc>
          <w:tcPr>
            <w:tcW w:w="2156" w:type="dxa"/>
          </w:tcPr>
          <w:p w14:paraId="1884D61D" w14:textId="77777777" w:rsidR="001441F6" w:rsidRDefault="001441F6" w:rsidP="00252D1B">
            <w:pPr>
              <w:rPr>
                <w:sz w:val="18"/>
                <w:szCs w:val="18"/>
              </w:rPr>
            </w:pPr>
            <w:r>
              <w:rPr>
                <w:sz w:val="18"/>
                <w:szCs w:val="18"/>
              </w:rPr>
              <w:t xml:space="preserve"> Patrón de gestión</w:t>
            </w:r>
          </w:p>
        </w:tc>
        <w:tc>
          <w:tcPr>
            <w:tcW w:w="1547" w:type="dxa"/>
          </w:tcPr>
          <w:p w14:paraId="3B16C4C4" w14:textId="77777777" w:rsidR="001441F6" w:rsidRDefault="001441F6" w:rsidP="00252D1B">
            <w:pPr>
              <w:rPr>
                <w:sz w:val="18"/>
                <w:szCs w:val="18"/>
              </w:rPr>
            </w:pPr>
            <w:r>
              <w:rPr>
                <w:sz w:val="18"/>
                <w:szCs w:val="18"/>
              </w:rPr>
              <w:t>Concertación y participación</w:t>
            </w:r>
          </w:p>
          <w:p w14:paraId="73876FD0" w14:textId="77777777" w:rsidR="001441F6" w:rsidRDefault="001441F6" w:rsidP="00252D1B">
            <w:pPr>
              <w:rPr>
                <w:sz w:val="18"/>
                <w:szCs w:val="18"/>
              </w:rPr>
            </w:pPr>
            <w:r>
              <w:rPr>
                <w:sz w:val="18"/>
                <w:szCs w:val="18"/>
              </w:rPr>
              <w:lastRenderedPageBreak/>
              <w:t>Consejo del Salario (tripartito)</w:t>
            </w:r>
          </w:p>
        </w:tc>
        <w:tc>
          <w:tcPr>
            <w:tcW w:w="1952" w:type="dxa"/>
          </w:tcPr>
          <w:p w14:paraId="2DD96BE2" w14:textId="77777777" w:rsidR="001441F6" w:rsidRDefault="001441F6" w:rsidP="00252D1B">
            <w:pPr>
              <w:rPr>
                <w:sz w:val="18"/>
                <w:szCs w:val="18"/>
              </w:rPr>
            </w:pPr>
            <w:r>
              <w:rPr>
                <w:sz w:val="18"/>
                <w:szCs w:val="18"/>
              </w:rPr>
              <w:lastRenderedPageBreak/>
              <w:t>Concertación – COFEPRES</w:t>
            </w:r>
          </w:p>
        </w:tc>
        <w:tc>
          <w:tcPr>
            <w:tcW w:w="1898" w:type="dxa"/>
          </w:tcPr>
          <w:p w14:paraId="090C978B" w14:textId="77777777" w:rsidR="001441F6" w:rsidRDefault="001441F6" w:rsidP="00252D1B">
            <w:pPr>
              <w:rPr>
                <w:sz w:val="18"/>
                <w:szCs w:val="18"/>
              </w:rPr>
            </w:pPr>
            <w:r>
              <w:rPr>
                <w:sz w:val="18"/>
                <w:szCs w:val="18"/>
              </w:rPr>
              <w:t xml:space="preserve">Desconcentración operativa en </w:t>
            </w:r>
            <w:r>
              <w:rPr>
                <w:sz w:val="18"/>
                <w:szCs w:val="18"/>
              </w:rPr>
              <w:lastRenderedPageBreak/>
              <w:t>provincias, sin delegaci{on</w:t>
            </w:r>
          </w:p>
        </w:tc>
        <w:tc>
          <w:tcPr>
            <w:tcW w:w="1808" w:type="dxa"/>
          </w:tcPr>
          <w:p w14:paraId="431E6C30" w14:textId="77777777" w:rsidR="001441F6" w:rsidRDefault="001441F6" w:rsidP="00252D1B">
            <w:pPr>
              <w:rPr>
                <w:sz w:val="18"/>
                <w:szCs w:val="18"/>
              </w:rPr>
            </w:pPr>
            <w:r>
              <w:rPr>
                <w:sz w:val="18"/>
                <w:szCs w:val="18"/>
              </w:rPr>
              <w:lastRenderedPageBreak/>
              <w:t>Sindical, sin cambios</w:t>
            </w:r>
          </w:p>
        </w:tc>
        <w:tc>
          <w:tcPr>
            <w:tcW w:w="1815" w:type="dxa"/>
          </w:tcPr>
          <w:p w14:paraId="01294C3A" w14:textId="77777777" w:rsidR="001441F6" w:rsidRDefault="001441F6" w:rsidP="00252D1B">
            <w:pPr>
              <w:rPr>
                <w:sz w:val="18"/>
                <w:szCs w:val="18"/>
              </w:rPr>
            </w:pPr>
            <w:r>
              <w:rPr>
                <w:sz w:val="18"/>
                <w:szCs w:val="18"/>
              </w:rPr>
              <w:t xml:space="preserve">Organismos públicos </w:t>
            </w:r>
          </w:p>
        </w:tc>
        <w:tc>
          <w:tcPr>
            <w:tcW w:w="1808" w:type="dxa"/>
          </w:tcPr>
          <w:p w14:paraId="285DF7EE" w14:textId="77777777" w:rsidR="001441F6" w:rsidRPr="00864A85" w:rsidRDefault="001441F6" w:rsidP="00252D1B">
            <w:pPr>
              <w:rPr>
                <w:sz w:val="18"/>
                <w:szCs w:val="18"/>
              </w:rPr>
            </w:pPr>
            <w:r>
              <w:rPr>
                <w:sz w:val="18"/>
                <w:szCs w:val="18"/>
              </w:rPr>
              <w:t>Organismos públicos</w:t>
            </w:r>
          </w:p>
          <w:p w14:paraId="37FD3B68" w14:textId="77777777" w:rsidR="001441F6" w:rsidRPr="007B576E" w:rsidRDefault="001441F6" w:rsidP="00252D1B">
            <w:pPr>
              <w:rPr>
                <w:color w:val="FF0000"/>
                <w:sz w:val="18"/>
                <w:szCs w:val="18"/>
              </w:rPr>
            </w:pPr>
            <w:r w:rsidRPr="00864A85">
              <w:rPr>
                <w:sz w:val="18"/>
                <w:szCs w:val="18"/>
              </w:rPr>
              <w:lastRenderedPageBreak/>
              <w:t>Org. Gremiales y organizaciones sociales</w:t>
            </w:r>
          </w:p>
        </w:tc>
        <w:tc>
          <w:tcPr>
            <w:tcW w:w="1808" w:type="dxa"/>
          </w:tcPr>
          <w:p w14:paraId="08DCD0E0" w14:textId="77777777" w:rsidR="001441F6" w:rsidRDefault="001441F6" w:rsidP="00252D1B">
            <w:pPr>
              <w:rPr>
                <w:sz w:val="18"/>
                <w:szCs w:val="18"/>
              </w:rPr>
            </w:pPr>
            <w:r>
              <w:rPr>
                <w:sz w:val="18"/>
                <w:szCs w:val="18"/>
              </w:rPr>
              <w:lastRenderedPageBreak/>
              <w:t>OOSS</w:t>
            </w:r>
          </w:p>
        </w:tc>
      </w:tr>
      <w:tr w:rsidR="001441F6" w14:paraId="51A77F4A" w14:textId="77777777" w:rsidTr="00252D1B">
        <w:tc>
          <w:tcPr>
            <w:tcW w:w="2156" w:type="dxa"/>
            <w:shd w:val="clear" w:color="auto" w:fill="EEECE1" w:themeFill="background2"/>
          </w:tcPr>
          <w:p w14:paraId="03C163D8" w14:textId="77777777" w:rsidR="001441F6" w:rsidRDefault="001441F6" w:rsidP="00252D1B">
            <w:pPr>
              <w:jc w:val="right"/>
              <w:rPr>
                <w:sz w:val="18"/>
                <w:szCs w:val="18"/>
              </w:rPr>
            </w:pPr>
            <w:r>
              <w:rPr>
                <w:sz w:val="18"/>
                <w:szCs w:val="18"/>
              </w:rPr>
              <w:lastRenderedPageBreak/>
              <w:t>Prestaciones subsidiadas (monetarias)</w:t>
            </w:r>
          </w:p>
        </w:tc>
        <w:tc>
          <w:tcPr>
            <w:tcW w:w="1547" w:type="dxa"/>
            <w:shd w:val="clear" w:color="auto" w:fill="EEECE1" w:themeFill="background2"/>
          </w:tcPr>
          <w:p w14:paraId="2D201A8E" w14:textId="77777777" w:rsidR="001441F6" w:rsidRDefault="001441F6" w:rsidP="00252D1B">
            <w:pPr>
              <w:rPr>
                <w:sz w:val="18"/>
                <w:szCs w:val="18"/>
              </w:rPr>
            </w:pPr>
            <w:r>
              <w:rPr>
                <w:sz w:val="18"/>
                <w:szCs w:val="18"/>
              </w:rPr>
              <w:t>Planes de empleo</w:t>
            </w:r>
          </w:p>
          <w:p w14:paraId="43A77F32" w14:textId="77777777" w:rsidR="001441F6" w:rsidRDefault="001441F6" w:rsidP="00252D1B">
            <w:pPr>
              <w:rPr>
                <w:sz w:val="18"/>
                <w:szCs w:val="18"/>
              </w:rPr>
            </w:pPr>
            <w:r>
              <w:rPr>
                <w:sz w:val="18"/>
                <w:szCs w:val="18"/>
              </w:rPr>
              <w:t>REPRO</w:t>
            </w:r>
          </w:p>
        </w:tc>
        <w:tc>
          <w:tcPr>
            <w:tcW w:w="1952" w:type="dxa"/>
            <w:shd w:val="clear" w:color="auto" w:fill="EEECE1" w:themeFill="background2"/>
          </w:tcPr>
          <w:p w14:paraId="0BC77131" w14:textId="77777777" w:rsidR="001441F6" w:rsidRDefault="001441F6" w:rsidP="00252D1B">
            <w:pPr>
              <w:rPr>
                <w:sz w:val="18"/>
                <w:szCs w:val="18"/>
              </w:rPr>
            </w:pPr>
            <w:r>
              <w:rPr>
                <w:sz w:val="18"/>
                <w:szCs w:val="18"/>
              </w:rPr>
              <w:t>PROGRESAR</w:t>
            </w:r>
          </w:p>
        </w:tc>
        <w:tc>
          <w:tcPr>
            <w:tcW w:w="1898" w:type="dxa"/>
            <w:shd w:val="clear" w:color="auto" w:fill="EEECE1" w:themeFill="background2"/>
          </w:tcPr>
          <w:p w14:paraId="7D4E17F9" w14:textId="77777777" w:rsidR="001441F6" w:rsidRDefault="001441F6" w:rsidP="00252D1B">
            <w:pPr>
              <w:rPr>
                <w:sz w:val="18"/>
                <w:szCs w:val="18"/>
              </w:rPr>
            </w:pPr>
            <w:r>
              <w:rPr>
                <w:sz w:val="18"/>
                <w:szCs w:val="18"/>
              </w:rPr>
              <w:t>Componente no contributivo</w:t>
            </w:r>
          </w:p>
        </w:tc>
        <w:tc>
          <w:tcPr>
            <w:tcW w:w="1808" w:type="dxa"/>
            <w:shd w:val="clear" w:color="auto" w:fill="EEECE1" w:themeFill="background2"/>
          </w:tcPr>
          <w:p w14:paraId="37FAADFC" w14:textId="77777777" w:rsidR="001441F6" w:rsidRDefault="001441F6" w:rsidP="00252D1B">
            <w:pPr>
              <w:rPr>
                <w:sz w:val="18"/>
                <w:szCs w:val="18"/>
              </w:rPr>
            </w:pPr>
            <w:r>
              <w:rPr>
                <w:sz w:val="18"/>
                <w:szCs w:val="18"/>
              </w:rPr>
              <w:t>No</w:t>
            </w:r>
          </w:p>
        </w:tc>
        <w:tc>
          <w:tcPr>
            <w:tcW w:w="1815" w:type="dxa"/>
            <w:shd w:val="clear" w:color="auto" w:fill="EEECE1" w:themeFill="background2"/>
          </w:tcPr>
          <w:p w14:paraId="26F16035" w14:textId="77777777" w:rsidR="001441F6" w:rsidRDefault="001441F6" w:rsidP="00252D1B">
            <w:pPr>
              <w:rPr>
                <w:sz w:val="18"/>
                <w:szCs w:val="18"/>
              </w:rPr>
            </w:pPr>
            <w:r>
              <w:rPr>
                <w:sz w:val="18"/>
                <w:szCs w:val="18"/>
              </w:rPr>
              <w:t>No a personas, sí a gobiernos</w:t>
            </w:r>
          </w:p>
        </w:tc>
        <w:tc>
          <w:tcPr>
            <w:tcW w:w="1808" w:type="dxa"/>
            <w:shd w:val="clear" w:color="auto" w:fill="EEECE1" w:themeFill="background2"/>
          </w:tcPr>
          <w:p w14:paraId="1504ABEC" w14:textId="77777777" w:rsidR="001441F6" w:rsidRDefault="001441F6" w:rsidP="00252D1B">
            <w:pPr>
              <w:rPr>
                <w:sz w:val="18"/>
                <w:szCs w:val="18"/>
              </w:rPr>
            </w:pPr>
            <w:r>
              <w:rPr>
                <w:sz w:val="18"/>
                <w:szCs w:val="18"/>
              </w:rPr>
              <w:t>A personas: B (becas)</w:t>
            </w:r>
          </w:p>
          <w:p w14:paraId="6F4427F7" w14:textId="77777777" w:rsidR="001441F6" w:rsidRDefault="001441F6" w:rsidP="00252D1B">
            <w:pPr>
              <w:rPr>
                <w:sz w:val="18"/>
                <w:szCs w:val="18"/>
              </w:rPr>
            </w:pPr>
          </w:p>
          <w:p w14:paraId="24BE2784" w14:textId="77777777" w:rsidR="001441F6" w:rsidRDefault="001441F6" w:rsidP="00252D1B">
            <w:pPr>
              <w:rPr>
                <w:sz w:val="18"/>
                <w:szCs w:val="18"/>
              </w:rPr>
            </w:pPr>
            <w:r>
              <w:rPr>
                <w:sz w:val="18"/>
                <w:szCs w:val="18"/>
              </w:rPr>
              <w:t>No a personas, sí a gobiernos</w:t>
            </w:r>
          </w:p>
        </w:tc>
        <w:tc>
          <w:tcPr>
            <w:tcW w:w="1808" w:type="dxa"/>
            <w:shd w:val="clear" w:color="auto" w:fill="EEECE1" w:themeFill="background2"/>
          </w:tcPr>
          <w:p w14:paraId="2DFEC54D" w14:textId="77777777" w:rsidR="001441F6" w:rsidRDefault="001441F6" w:rsidP="00252D1B">
            <w:pPr>
              <w:rPr>
                <w:sz w:val="18"/>
                <w:szCs w:val="18"/>
              </w:rPr>
            </w:pPr>
            <w:r>
              <w:rPr>
                <w:sz w:val="18"/>
                <w:szCs w:val="18"/>
              </w:rPr>
              <w:t>Pensiones no contributivas</w:t>
            </w:r>
          </w:p>
          <w:p w14:paraId="21E3E65A" w14:textId="77777777" w:rsidR="001441F6" w:rsidRDefault="001441F6" w:rsidP="00252D1B">
            <w:pPr>
              <w:rPr>
                <w:sz w:val="18"/>
                <w:szCs w:val="18"/>
              </w:rPr>
            </w:pPr>
            <w:r>
              <w:rPr>
                <w:sz w:val="18"/>
                <w:szCs w:val="18"/>
              </w:rPr>
              <w:t>Plan alimentario monetizado</w:t>
            </w:r>
          </w:p>
          <w:p w14:paraId="3F08DA32" w14:textId="77777777" w:rsidR="001441F6" w:rsidRDefault="001441F6" w:rsidP="00252D1B">
            <w:pPr>
              <w:rPr>
                <w:sz w:val="18"/>
                <w:szCs w:val="18"/>
              </w:rPr>
            </w:pPr>
            <w:r>
              <w:rPr>
                <w:sz w:val="18"/>
                <w:szCs w:val="18"/>
              </w:rPr>
              <w:t>PRIST</w:t>
            </w:r>
          </w:p>
        </w:tc>
      </w:tr>
      <w:tr w:rsidR="001441F6" w14:paraId="26E12E43" w14:textId="77777777" w:rsidTr="00252D1B">
        <w:tc>
          <w:tcPr>
            <w:tcW w:w="2156" w:type="dxa"/>
          </w:tcPr>
          <w:p w14:paraId="21CB0C88" w14:textId="77777777" w:rsidR="001441F6" w:rsidRDefault="001441F6" w:rsidP="00252D1B">
            <w:pPr>
              <w:jc w:val="right"/>
              <w:rPr>
                <w:sz w:val="18"/>
                <w:szCs w:val="18"/>
              </w:rPr>
            </w:pPr>
            <w:r>
              <w:rPr>
                <w:sz w:val="18"/>
                <w:szCs w:val="18"/>
              </w:rPr>
              <w:t>Cotizaciónes subsidiadas</w:t>
            </w:r>
          </w:p>
        </w:tc>
        <w:tc>
          <w:tcPr>
            <w:tcW w:w="1547" w:type="dxa"/>
          </w:tcPr>
          <w:p w14:paraId="05AC7E4C" w14:textId="77777777" w:rsidR="001441F6" w:rsidRDefault="001441F6" w:rsidP="00252D1B">
            <w:pPr>
              <w:rPr>
                <w:sz w:val="18"/>
                <w:szCs w:val="18"/>
              </w:rPr>
            </w:pPr>
          </w:p>
        </w:tc>
        <w:tc>
          <w:tcPr>
            <w:tcW w:w="1952" w:type="dxa"/>
          </w:tcPr>
          <w:p w14:paraId="4575E8A0" w14:textId="77777777" w:rsidR="001441F6" w:rsidRDefault="001441F6" w:rsidP="00252D1B">
            <w:pPr>
              <w:rPr>
                <w:sz w:val="18"/>
                <w:szCs w:val="18"/>
              </w:rPr>
            </w:pPr>
            <w:r>
              <w:rPr>
                <w:sz w:val="18"/>
                <w:szCs w:val="18"/>
              </w:rPr>
              <w:t>Moratoria</w:t>
            </w:r>
          </w:p>
        </w:tc>
        <w:tc>
          <w:tcPr>
            <w:tcW w:w="1898" w:type="dxa"/>
          </w:tcPr>
          <w:p w14:paraId="576A12BF" w14:textId="77777777" w:rsidR="001441F6" w:rsidRDefault="001441F6" w:rsidP="00252D1B">
            <w:pPr>
              <w:rPr>
                <w:sz w:val="18"/>
                <w:szCs w:val="18"/>
              </w:rPr>
            </w:pPr>
            <w:r>
              <w:rPr>
                <w:sz w:val="18"/>
                <w:szCs w:val="18"/>
              </w:rPr>
              <w:t>No</w:t>
            </w:r>
          </w:p>
        </w:tc>
        <w:tc>
          <w:tcPr>
            <w:tcW w:w="1808" w:type="dxa"/>
          </w:tcPr>
          <w:p w14:paraId="1B5E1450" w14:textId="77777777" w:rsidR="001441F6" w:rsidRDefault="001441F6" w:rsidP="00252D1B">
            <w:pPr>
              <w:rPr>
                <w:sz w:val="18"/>
                <w:szCs w:val="18"/>
              </w:rPr>
            </w:pPr>
            <w:r>
              <w:rPr>
                <w:sz w:val="18"/>
                <w:szCs w:val="18"/>
              </w:rPr>
              <w:t>SÍ: a personas y por regímenes especiales</w:t>
            </w:r>
          </w:p>
        </w:tc>
        <w:tc>
          <w:tcPr>
            <w:tcW w:w="1815" w:type="dxa"/>
          </w:tcPr>
          <w:p w14:paraId="033DFC43" w14:textId="77777777" w:rsidR="001441F6" w:rsidRDefault="001441F6" w:rsidP="00252D1B">
            <w:pPr>
              <w:rPr>
                <w:sz w:val="18"/>
                <w:szCs w:val="18"/>
              </w:rPr>
            </w:pPr>
            <w:r>
              <w:rPr>
                <w:sz w:val="18"/>
                <w:szCs w:val="18"/>
              </w:rPr>
              <w:t>Sì, seguros públicos con condición de gratuidad</w:t>
            </w:r>
          </w:p>
        </w:tc>
        <w:tc>
          <w:tcPr>
            <w:tcW w:w="1808" w:type="dxa"/>
          </w:tcPr>
          <w:p w14:paraId="7C03367B" w14:textId="77777777" w:rsidR="001441F6" w:rsidRDefault="001441F6" w:rsidP="00252D1B">
            <w:pPr>
              <w:rPr>
                <w:sz w:val="18"/>
                <w:szCs w:val="18"/>
              </w:rPr>
            </w:pPr>
            <w:r>
              <w:rPr>
                <w:sz w:val="18"/>
                <w:szCs w:val="18"/>
              </w:rPr>
              <w:t>No</w:t>
            </w:r>
          </w:p>
        </w:tc>
        <w:tc>
          <w:tcPr>
            <w:tcW w:w="1808" w:type="dxa"/>
          </w:tcPr>
          <w:p w14:paraId="224E09F8" w14:textId="77777777" w:rsidR="001441F6" w:rsidRDefault="001441F6" w:rsidP="00252D1B">
            <w:pPr>
              <w:rPr>
                <w:sz w:val="18"/>
                <w:szCs w:val="18"/>
              </w:rPr>
            </w:pPr>
            <w:r>
              <w:rPr>
                <w:sz w:val="18"/>
                <w:szCs w:val="18"/>
              </w:rPr>
              <w:t>Monotributo social</w:t>
            </w:r>
          </w:p>
        </w:tc>
      </w:tr>
      <w:tr w:rsidR="001441F6" w14:paraId="5D26E9FC" w14:textId="77777777" w:rsidTr="00252D1B">
        <w:tc>
          <w:tcPr>
            <w:tcW w:w="2156" w:type="dxa"/>
            <w:shd w:val="clear" w:color="auto" w:fill="EEECE1" w:themeFill="background2"/>
          </w:tcPr>
          <w:p w14:paraId="27B8788A" w14:textId="77777777" w:rsidR="001441F6" w:rsidRPr="00365610" w:rsidRDefault="001441F6" w:rsidP="00252D1B">
            <w:pPr>
              <w:rPr>
                <w:b/>
                <w:sz w:val="18"/>
                <w:szCs w:val="18"/>
              </w:rPr>
            </w:pPr>
            <w:r>
              <w:rPr>
                <w:b/>
                <w:sz w:val="18"/>
                <w:szCs w:val="18"/>
              </w:rPr>
              <w:t>MODALIDAD TÍPICA A REFORMAR (ERRADICAR)</w:t>
            </w:r>
          </w:p>
        </w:tc>
        <w:tc>
          <w:tcPr>
            <w:tcW w:w="1547" w:type="dxa"/>
            <w:shd w:val="clear" w:color="auto" w:fill="EEECE1" w:themeFill="background2"/>
          </w:tcPr>
          <w:p w14:paraId="6AF50273" w14:textId="77777777" w:rsidR="001441F6" w:rsidRDefault="001441F6" w:rsidP="00252D1B">
            <w:pPr>
              <w:rPr>
                <w:sz w:val="18"/>
                <w:szCs w:val="18"/>
              </w:rPr>
            </w:pPr>
            <w:r>
              <w:rPr>
                <w:sz w:val="18"/>
                <w:szCs w:val="18"/>
              </w:rPr>
              <w:t>Planes con contraprestación</w:t>
            </w:r>
          </w:p>
        </w:tc>
        <w:tc>
          <w:tcPr>
            <w:tcW w:w="1952" w:type="dxa"/>
            <w:shd w:val="clear" w:color="auto" w:fill="EEECE1" w:themeFill="background2"/>
          </w:tcPr>
          <w:p w14:paraId="546BD815" w14:textId="77777777" w:rsidR="001441F6" w:rsidRDefault="001441F6" w:rsidP="00252D1B">
            <w:pPr>
              <w:rPr>
                <w:sz w:val="18"/>
                <w:szCs w:val="18"/>
              </w:rPr>
            </w:pPr>
            <w:r>
              <w:rPr>
                <w:sz w:val="18"/>
                <w:szCs w:val="18"/>
              </w:rPr>
              <w:t>Programas de transferencias de ingresos con menor elegibilidad</w:t>
            </w:r>
          </w:p>
          <w:p w14:paraId="484D8375" w14:textId="77777777" w:rsidR="001441F6" w:rsidRDefault="001441F6" w:rsidP="00252D1B">
            <w:pPr>
              <w:rPr>
                <w:sz w:val="18"/>
                <w:szCs w:val="18"/>
              </w:rPr>
            </w:pPr>
          </w:p>
        </w:tc>
        <w:tc>
          <w:tcPr>
            <w:tcW w:w="1898" w:type="dxa"/>
            <w:shd w:val="clear" w:color="auto" w:fill="EEECE1" w:themeFill="background2"/>
          </w:tcPr>
          <w:p w14:paraId="60B8F392" w14:textId="77777777" w:rsidR="001441F6" w:rsidRDefault="001441F6" w:rsidP="00252D1B">
            <w:r w:rsidRPr="004A4117">
              <w:rPr>
                <w:sz w:val="18"/>
                <w:szCs w:val="18"/>
              </w:rPr>
              <w:t>Programas de transferencias de ingresos con menor elegibi</w:t>
            </w:r>
            <w:r>
              <w:rPr>
                <w:sz w:val="18"/>
                <w:szCs w:val="18"/>
              </w:rPr>
              <w:t>l</w:t>
            </w:r>
            <w:r w:rsidRPr="004A4117">
              <w:rPr>
                <w:sz w:val="18"/>
                <w:szCs w:val="18"/>
              </w:rPr>
              <w:t>idad</w:t>
            </w:r>
          </w:p>
        </w:tc>
        <w:tc>
          <w:tcPr>
            <w:tcW w:w="1808" w:type="dxa"/>
            <w:shd w:val="clear" w:color="auto" w:fill="EEECE1" w:themeFill="background2"/>
          </w:tcPr>
          <w:p w14:paraId="3265209A" w14:textId="77777777" w:rsidR="001441F6" w:rsidRPr="00DC635E" w:rsidRDefault="001441F6" w:rsidP="00252D1B">
            <w:pPr>
              <w:rPr>
                <w:sz w:val="18"/>
                <w:szCs w:val="18"/>
              </w:rPr>
            </w:pPr>
            <w:r w:rsidRPr="00DC635E">
              <w:rPr>
                <w:sz w:val="18"/>
                <w:szCs w:val="18"/>
              </w:rPr>
              <w:t xml:space="preserve">No </w:t>
            </w:r>
            <w:r>
              <w:rPr>
                <w:sz w:val="18"/>
                <w:szCs w:val="18"/>
              </w:rPr>
              <w:t>registra</w:t>
            </w:r>
          </w:p>
        </w:tc>
        <w:tc>
          <w:tcPr>
            <w:tcW w:w="1815" w:type="dxa"/>
            <w:shd w:val="clear" w:color="auto" w:fill="EEECE1" w:themeFill="background2"/>
          </w:tcPr>
          <w:p w14:paraId="6CA07162" w14:textId="77777777" w:rsidR="001441F6" w:rsidRDefault="001441F6" w:rsidP="00252D1B">
            <w:pPr>
              <w:rPr>
                <w:sz w:val="18"/>
                <w:szCs w:val="18"/>
              </w:rPr>
            </w:pPr>
            <w:r>
              <w:rPr>
                <w:sz w:val="18"/>
                <w:szCs w:val="18"/>
              </w:rPr>
              <w:t>Ranking de pobreza</w:t>
            </w:r>
          </w:p>
          <w:p w14:paraId="622ABAB4" w14:textId="77777777" w:rsidR="001441F6" w:rsidRDefault="001441F6" w:rsidP="00252D1B">
            <w:pPr>
              <w:rPr>
                <w:sz w:val="18"/>
                <w:szCs w:val="18"/>
              </w:rPr>
            </w:pPr>
            <w:r>
              <w:rPr>
                <w:sz w:val="18"/>
                <w:szCs w:val="18"/>
              </w:rPr>
              <w:t>Cupos</w:t>
            </w:r>
          </w:p>
        </w:tc>
        <w:tc>
          <w:tcPr>
            <w:tcW w:w="1808" w:type="dxa"/>
            <w:shd w:val="clear" w:color="auto" w:fill="EEECE1" w:themeFill="background2"/>
          </w:tcPr>
          <w:p w14:paraId="1C498035" w14:textId="77777777" w:rsidR="001441F6" w:rsidRPr="00DC635E" w:rsidRDefault="001441F6" w:rsidP="00252D1B">
            <w:pPr>
              <w:rPr>
                <w:sz w:val="18"/>
                <w:szCs w:val="18"/>
              </w:rPr>
            </w:pPr>
            <w:r w:rsidRPr="00DC635E">
              <w:rPr>
                <w:sz w:val="18"/>
                <w:szCs w:val="18"/>
              </w:rPr>
              <w:t xml:space="preserve">Modelo de “equidad” (sustituido por igualdad), </w:t>
            </w:r>
          </w:p>
          <w:p w14:paraId="4AC82B8C" w14:textId="77777777" w:rsidR="001441F6" w:rsidRPr="00DC635E" w:rsidRDefault="001441F6" w:rsidP="00252D1B">
            <w:pPr>
              <w:rPr>
                <w:sz w:val="18"/>
                <w:szCs w:val="18"/>
              </w:rPr>
            </w:pPr>
            <w:r w:rsidRPr="00DC635E">
              <w:rPr>
                <w:sz w:val="18"/>
                <w:szCs w:val="18"/>
              </w:rPr>
              <w:t xml:space="preserve">Ranking de pobreza, </w:t>
            </w:r>
          </w:p>
          <w:p w14:paraId="7C3B7FD5" w14:textId="77777777" w:rsidR="001441F6" w:rsidRDefault="001441F6" w:rsidP="00252D1B">
            <w:pPr>
              <w:rPr>
                <w:sz w:val="18"/>
                <w:szCs w:val="18"/>
              </w:rPr>
            </w:pPr>
            <w:r w:rsidRPr="00DC635E">
              <w:rPr>
                <w:sz w:val="18"/>
                <w:szCs w:val="18"/>
              </w:rPr>
              <w:t>Cupos</w:t>
            </w:r>
          </w:p>
          <w:p w14:paraId="11A416C0" w14:textId="77777777" w:rsidR="001441F6" w:rsidRPr="00B11735" w:rsidRDefault="001441F6" w:rsidP="00252D1B">
            <w:pPr>
              <w:rPr>
                <w:strike/>
                <w:sz w:val="18"/>
                <w:szCs w:val="18"/>
              </w:rPr>
            </w:pPr>
            <w:r>
              <w:rPr>
                <w:sz w:val="18"/>
                <w:szCs w:val="18"/>
              </w:rPr>
              <w:t xml:space="preserve">Planes socio asistenciales </w:t>
            </w:r>
          </w:p>
          <w:p w14:paraId="5F098DB4" w14:textId="77777777" w:rsidR="001441F6" w:rsidRDefault="001441F6" w:rsidP="00252D1B">
            <w:pPr>
              <w:rPr>
                <w:sz w:val="18"/>
                <w:szCs w:val="18"/>
              </w:rPr>
            </w:pPr>
            <w:r>
              <w:rPr>
                <w:sz w:val="18"/>
                <w:szCs w:val="18"/>
              </w:rPr>
              <w:t>Fundaciones y ONGs</w:t>
            </w:r>
          </w:p>
          <w:p w14:paraId="0C8E16F3" w14:textId="77777777" w:rsidR="001441F6" w:rsidRDefault="001441F6" w:rsidP="00252D1B">
            <w:pPr>
              <w:rPr>
                <w:sz w:val="18"/>
                <w:szCs w:val="18"/>
              </w:rPr>
            </w:pPr>
          </w:p>
        </w:tc>
        <w:tc>
          <w:tcPr>
            <w:tcW w:w="1808" w:type="dxa"/>
            <w:shd w:val="clear" w:color="auto" w:fill="EEECE1" w:themeFill="background2"/>
          </w:tcPr>
          <w:p w14:paraId="4213129D" w14:textId="77777777" w:rsidR="001441F6" w:rsidRDefault="001441F6" w:rsidP="00252D1B">
            <w:pPr>
              <w:rPr>
                <w:sz w:val="18"/>
                <w:szCs w:val="18"/>
              </w:rPr>
            </w:pPr>
            <w:r>
              <w:rPr>
                <w:sz w:val="18"/>
                <w:szCs w:val="18"/>
              </w:rPr>
              <w:t>Planes sociales de menor elegibilidad</w:t>
            </w:r>
          </w:p>
          <w:p w14:paraId="70BDDC8F" w14:textId="77777777" w:rsidR="001441F6" w:rsidRDefault="001441F6" w:rsidP="00252D1B">
            <w:pPr>
              <w:rPr>
                <w:sz w:val="18"/>
                <w:szCs w:val="18"/>
              </w:rPr>
            </w:pPr>
            <w:r>
              <w:rPr>
                <w:sz w:val="18"/>
                <w:szCs w:val="18"/>
              </w:rPr>
              <w:t>Comedores</w:t>
            </w:r>
          </w:p>
          <w:p w14:paraId="3EC35DC0" w14:textId="77777777" w:rsidR="001441F6" w:rsidRDefault="001441F6" w:rsidP="00252D1B">
            <w:pPr>
              <w:rPr>
                <w:sz w:val="18"/>
                <w:szCs w:val="18"/>
              </w:rPr>
            </w:pPr>
            <w:r>
              <w:rPr>
                <w:sz w:val="18"/>
                <w:szCs w:val="18"/>
              </w:rPr>
              <w:t>Cupos</w:t>
            </w:r>
          </w:p>
          <w:p w14:paraId="67F055B4" w14:textId="77777777" w:rsidR="001441F6" w:rsidRDefault="001441F6" w:rsidP="00252D1B">
            <w:pPr>
              <w:rPr>
                <w:sz w:val="18"/>
                <w:szCs w:val="18"/>
              </w:rPr>
            </w:pPr>
            <w:r>
              <w:rPr>
                <w:sz w:val="18"/>
                <w:szCs w:val="18"/>
              </w:rPr>
              <w:t>Fundaciones y ONGs</w:t>
            </w:r>
          </w:p>
          <w:p w14:paraId="0A14DB1F" w14:textId="77777777" w:rsidR="001441F6" w:rsidRDefault="001441F6" w:rsidP="00252D1B">
            <w:pPr>
              <w:rPr>
                <w:sz w:val="18"/>
                <w:szCs w:val="18"/>
              </w:rPr>
            </w:pPr>
          </w:p>
        </w:tc>
      </w:tr>
    </w:tbl>
    <w:p w14:paraId="38EB4B74" w14:textId="77777777" w:rsidR="001441F6" w:rsidRDefault="001441F6" w:rsidP="001441F6">
      <w:pPr>
        <w:rPr>
          <w:sz w:val="18"/>
          <w:szCs w:val="18"/>
        </w:rPr>
      </w:pPr>
    </w:p>
    <w:p w14:paraId="35BA71FD" w14:textId="77777777" w:rsidR="001441F6" w:rsidRDefault="001441F6" w:rsidP="001441F6">
      <w:pPr>
        <w:rPr>
          <w:sz w:val="18"/>
          <w:szCs w:val="18"/>
        </w:rPr>
      </w:pPr>
      <w:r>
        <w:rPr>
          <w:sz w:val="18"/>
          <w:szCs w:val="18"/>
        </w:rPr>
        <w:t>A: alta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OOSS: Organizaciones sociales</w:t>
      </w:r>
      <w:r>
        <w:rPr>
          <w:sz w:val="18"/>
          <w:szCs w:val="18"/>
        </w:rPr>
        <w:tab/>
      </w:r>
      <w:r>
        <w:rPr>
          <w:sz w:val="18"/>
          <w:szCs w:val="18"/>
        </w:rPr>
        <w:tab/>
      </w:r>
      <w:r>
        <w:rPr>
          <w:sz w:val="18"/>
          <w:szCs w:val="18"/>
        </w:rPr>
        <w:tab/>
      </w:r>
      <w:r>
        <w:rPr>
          <w:sz w:val="18"/>
          <w:szCs w:val="18"/>
        </w:rPr>
        <w:tab/>
        <w:t>Gob pciales: gobiernos provinciales</w:t>
      </w:r>
      <w:r>
        <w:rPr>
          <w:sz w:val="18"/>
          <w:szCs w:val="18"/>
        </w:rPr>
        <w:tab/>
      </w:r>
    </w:p>
    <w:p w14:paraId="4CB3D060" w14:textId="77777777" w:rsidR="001441F6" w:rsidRDefault="001441F6" w:rsidP="001441F6">
      <w:pPr>
        <w:rPr>
          <w:sz w:val="18"/>
          <w:szCs w:val="18"/>
        </w:rPr>
      </w:pPr>
      <w:r>
        <w:rPr>
          <w:sz w:val="18"/>
          <w:szCs w:val="18"/>
        </w:rPr>
        <w:t>M: media</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aumentó </w:t>
      </w:r>
    </w:p>
    <w:p w14:paraId="294DC812" w14:textId="77777777" w:rsidR="001441F6" w:rsidRDefault="001441F6" w:rsidP="001441F6">
      <w:pPr>
        <w:rPr>
          <w:sz w:val="18"/>
          <w:szCs w:val="18"/>
        </w:rPr>
      </w:pPr>
      <w:r>
        <w:rPr>
          <w:sz w:val="18"/>
          <w:szCs w:val="18"/>
        </w:rPr>
        <w:t>B: baja.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aumentó más que significativamente</w:t>
      </w:r>
    </w:p>
    <w:p w14:paraId="2801222C" w14:textId="77777777" w:rsidR="001441F6" w:rsidRPr="00BD6008" w:rsidRDefault="001441F6" w:rsidP="001441F6">
      <w:pPr>
        <w:pStyle w:val="Prrafodelista"/>
        <w:numPr>
          <w:ilvl w:val="0"/>
          <w:numId w:val="5"/>
        </w:numPr>
        <w:spacing w:after="0"/>
        <w:rPr>
          <w:sz w:val="18"/>
          <w:szCs w:val="18"/>
        </w:rPr>
      </w:pPr>
      <w:r w:rsidRPr="00BD6008">
        <w:rPr>
          <w:sz w:val="18"/>
          <w:szCs w:val="18"/>
        </w:rPr>
        <w:t>Las acciones de ANSES como agencia de la SS</w:t>
      </w:r>
    </w:p>
    <w:p w14:paraId="4E88BE56" w14:textId="77777777" w:rsidR="001441F6" w:rsidRDefault="001441F6" w:rsidP="001441F6">
      <w:pPr>
        <w:spacing w:after="0"/>
        <w:rPr>
          <w:sz w:val="18"/>
          <w:szCs w:val="18"/>
        </w:rPr>
      </w:pPr>
      <w:r>
        <w:rPr>
          <w:sz w:val="18"/>
          <w:szCs w:val="18"/>
        </w:rPr>
        <w:t>son consignadas en el sub-sistema de previsión.</w:t>
      </w:r>
    </w:p>
    <w:p w14:paraId="6EFAC69A" w14:textId="77777777" w:rsidR="001441F6" w:rsidRDefault="001441F6" w:rsidP="001441F6">
      <w:pPr>
        <w:spacing w:after="0"/>
        <w:rPr>
          <w:sz w:val="18"/>
          <w:szCs w:val="18"/>
        </w:rPr>
      </w:pPr>
    </w:p>
    <w:p w14:paraId="25A1E839" w14:textId="77777777" w:rsidR="001441F6" w:rsidRDefault="001441F6" w:rsidP="001441F6">
      <w:pPr>
        <w:rPr>
          <w:sz w:val="18"/>
          <w:szCs w:val="18"/>
        </w:rPr>
      </w:pPr>
      <w:r>
        <w:rPr>
          <w:sz w:val="18"/>
          <w:szCs w:val="18"/>
        </w:rPr>
        <w:t>(2) El Programa de Inmunizaciones siempre fue nacional,</w:t>
      </w:r>
    </w:p>
    <w:p w14:paraId="4F56AA4C" w14:textId="77777777" w:rsidR="001441F6" w:rsidRPr="00821014" w:rsidRDefault="001441F6" w:rsidP="001441F6">
      <w:pPr>
        <w:spacing w:after="0"/>
        <w:rPr>
          <w:sz w:val="18"/>
          <w:szCs w:val="18"/>
        </w:rPr>
      </w:pPr>
      <w:r>
        <w:rPr>
          <w:sz w:val="18"/>
          <w:szCs w:val="18"/>
        </w:rPr>
        <w:t>pero aumentó la provisión vía calendario de vacunación</w:t>
      </w:r>
    </w:p>
    <w:p w14:paraId="4AD00C69" w14:textId="77777777" w:rsidR="001441F6" w:rsidRDefault="001441F6"/>
    <w:p w14:paraId="2A78FA14" w14:textId="77777777" w:rsidR="00FD6063" w:rsidRPr="006C42BE" w:rsidRDefault="00FD6063" w:rsidP="00FD6063">
      <w:pPr>
        <w:spacing w:after="0"/>
      </w:pPr>
    </w:p>
    <w:sectPr w:rsidR="00FD6063" w:rsidRPr="006C42BE" w:rsidSect="001441F6">
      <w:pgSz w:w="16839" w:h="11907" w:orient="landscape" w:code="9"/>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762A43EC" w14:textId="77777777" w:rsidR="009B2081" w:rsidRDefault="009B2081">
      <w:pPr>
        <w:pStyle w:val="Textocomentario"/>
      </w:pPr>
      <w:r>
        <w:rPr>
          <w:rStyle w:val="Refdecomentario"/>
        </w:rPr>
        <w:annotationRef/>
      </w:r>
      <w:r>
        <w:t xml:space="preserve">Del proceso político y sus resultados, que son la nueva estructura de bienestar. </w:t>
      </w:r>
    </w:p>
  </w:comment>
  <w:comment w:id="2" w:author="Autor" w:initials="A">
    <w:p w14:paraId="4E7CAB7F" w14:textId="77777777" w:rsidR="009B2081" w:rsidRDefault="009B2081">
      <w:pPr>
        <w:pStyle w:val="Textocomentario"/>
      </w:pPr>
      <w:r>
        <w:rPr>
          <w:rStyle w:val="Refdecomentario"/>
        </w:rPr>
        <w:annotationRef/>
      </w:r>
      <w:r>
        <w:t xml:space="preserve">A una NUEVA institucionalidad….. </w:t>
      </w:r>
    </w:p>
  </w:comment>
  <w:comment w:id="3" w:author="Autor" w:initials="A">
    <w:p w14:paraId="1312A3DE" w14:textId="5B0740C1" w:rsidR="00AC4FBF" w:rsidRDefault="00AC4FBF">
      <w:pPr>
        <w:pStyle w:val="Textocomentario"/>
      </w:pPr>
      <w:r>
        <w:rPr>
          <w:rStyle w:val="Refdecomentario"/>
        </w:rPr>
        <w:annotationRef/>
      </w:r>
      <w:r>
        <w:t xml:space="preserve">Hablamos de formas de nombrar, de etiquetado de las cosas…. O de la SEMANTICA, de los significados que están contenidos en los conceptos… creo que se refiere a lo último. </w:t>
      </w:r>
    </w:p>
  </w:comment>
  <w:comment w:id="4" w:author="Autor" w:initials="A">
    <w:p w14:paraId="404C25B9" w14:textId="5B31C488" w:rsidR="00AC4FBF" w:rsidRDefault="00AC4FBF">
      <w:pPr>
        <w:pStyle w:val="Textocomentario"/>
      </w:pPr>
      <w:r>
        <w:rPr>
          <w:rStyle w:val="Refdecomentario"/>
        </w:rPr>
        <w:annotationRef/>
      </w:r>
      <w:r w:rsidR="002F610B">
        <w:t>También la</w:t>
      </w:r>
      <w:r>
        <w:t xml:space="preserve"> incorporación de “nuevos colectivos sociales”, diferentes de los más clásicos, basados en el mundo del trabajo…… </w:t>
      </w:r>
      <w:r w:rsidR="00902F04">
        <w:t>Hay una diversificación de los “receptores” o titulares de beneficios sociales….</w:t>
      </w:r>
    </w:p>
  </w:comment>
  <w:comment w:id="5" w:author="Autor" w:initials="A">
    <w:p w14:paraId="5CAD9105" w14:textId="319BF1D8" w:rsidR="002A6A38" w:rsidRDefault="002A6A38">
      <w:pPr>
        <w:pStyle w:val="Textocomentario"/>
      </w:pPr>
      <w:r>
        <w:rPr>
          <w:rStyle w:val="Refdecomentario"/>
        </w:rPr>
        <w:annotationRef/>
      </w:r>
      <w:r>
        <w:t xml:space="preserve">Esto es muy propio del discurso político argentino actual, tal vez merezca una aclaración o nota para extranjeros…… </w:t>
      </w:r>
      <w:r w:rsidR="00056064">
        <w:t>Aclarar que se refiere a la polarización extrema, que deriva en fractura o grieta.</w:t>
      </w:r>
    </w:p>
  </w:comment>
  <w:comment w:id="6" w:author="Autor" w:initials="A">
    <w:p w14:paraId="2CE75CE1" w14:textId="2921082E" w:rsidR="004C41F2" w:rsidRDefault="004C41F2">
      <w:pPr>
        <w:pStyle w:val="Textocomentario"/>
      </w:pPr>
      <w:r>
        <w:rPr>
          <w:rStyle w:val="Refdecomentario"/>
        </w:rPr>
        <w:annotationRef/>
      </w:r>
      <w:r>
        <w:t xml:space="preserve">Por claridad para el lector, creo que dería ir el signo de los propulsores de la contrareforma, en este caso progresista o de izquierda o rosa….. Ellos fueron CONTRA la revolución neoliberal… Después vendrían disquisiciones respecto a si los contra van por un pasado glorioso, anterior a la revol neoliberal, en el sentido restaurador, o van por algo nuevo, pero eso ya sería demasiado fino para mí.  </w:t>
      </w:r>
    </w:p>
  </w:comment>
  <w:comment w:id="7" w:author="Autor" w:initials="A">
    <w:p w14:paraId="37304603" w14:textId="696CC5CB" w:rsidR="00696584" w:rsidRDefault="00696584">
      <w:pPr>
        <w:pStyle w:val="Textocomentario"/>
      </w:pPr>
      <w:r>
        <w:rPr>
          <w:rStyle w:val="Refdecomentario"/>
        </w:rPr>
        <w:annotationRef/>
      </w:r>
      <w:r>
        <w:t>El contraste en realidad sería contra el modelo emergente CON el ciclo Neoliberal, esto es, el que acumula las trasnformaciones neoliberales sobre la base del modelo corporativo edificado en torno al MSimportaciones…. Verdad??</w:t>
      </w:r>
    </w:p>
  </w:comment>
  <w:comment w:id="8" w:author="Autor" w:initials="A">
    <w:p w14:paraId="4699B44D" w14:textId="30A07677" w:rsidR="00056064" w:rsidRDefault="00056064">
      <w:pPr>
        <w:pStyle w:val="Textocomentario"/>
      </w:pPr>
      <w:r>
        <w:rPr>
          <w:rStyle w:val="Refdecomentario"/>
        </w:rPr>
        <w:annotationRef/>
      </w:r>
      <w:r>
        <w:t xml:space="preserve">Para beneficio de lectores desprevenidos, yo agregaría que la Argentina construyó una estructura de protección relativamente amplia y generosa, para lo que es el estándar latinoamericano. Luego si, el efecto de las reformas neoliberales y su impacto en esa matriz histórica. </w:t>
      </w:r>
    </w:p>
  </w:comment>
  <w:comment w:id="9" w:author="Autor" w:initials="A">
    <w:p w14:paraId="0CECF802" w14:textId="06271895" w:rsidR="00696584" w:rsidRDefault="00696584">
      <w:pPr>
        <w:pStyle w:val="Textocomentario"/>
      </w:pPr>
      <w:r>
        <w:rPr>
          <w:rStyle w:val="Refdecomentario"/>
        </w:rPr>
        <w:annotationRef/>
      </w:r>
      <w:r>
        <w:t xml:space="preserve">Esto es muy importante. En términos semánticos, hay cierta asociación de la voz contra-rev con la idea de retorno o recuperación de pasado glorioso…. Al menos, desde los avatares de la reforma religiosa y su ciclo posterior, hasta la secuencia posterior a la revolución francesa…… Como ya dije, demasiado fino para mi, pero creo que vale el comentario para los autores…. </w:t>
      </w:r>
    </w:p>
  </w:comment>
  <w:comment w:id="10" w:author="Autor" w:initials="A">
    <w:p w14:paraId="24E6BA83" w14:textId="16ED84E8" w:rsidR="00696584" w:rsidRDefault="00696584">
      <w:pPr>
        <w:pStyle w:val="Textocomentario"/>
      </w:pPr>
      <w:r>
        <w:rPr>
          <w:rStyle w:val="Refdecomentario"/>
        </w:rPr>
        <w:annotationRef/>
      </w:r>
      <w:r>
        <w:t>Muy interesante esta orientación. Creo que se emparenta con la idea de los “paradigmas de las políticas públicas”, en la línea de Scok</w:t>
      </w:r>
      <w:r w:rsidR="00056064">
        <w:t>p</w:t>
      </w:r>
      <w:r>
        <w:t xml:space="preserve">ol, Weir y Hall. Para América Latina, los que ensayaron esto fueron Rolando Franco y Fernando Filgueira desde CEPAL. </w:t>
      </w:r>
    </w:p>
  </w:comment>
  <w:comment w:id="11" w:author="Autor" w:initials="A">
    <w:p w14:paraId="5FA81E42" w14:textId="4C1730E8" w:rsidR="00A3776A" w:rsidRDefault="00A3776A">
      <w:pPr>
        <w:pStyle w:val="Textocomentario"/>
      </w:pPr>
      <w:r>
        <w:rPr>
          <w:rStyle w:val="Refdecomentario"/>
        </w:rPr>
        <w:annotationRef/>
      </w:r>
      <w:r>
        <w:t xml:space="preserve">“civilizada” no sería más apropiado?? </w:t>
      </w:r>
    </w:p>
  </w:comment>
  <w:comment w:id="12" w:author="Autor" w:initials="A">
    <w:p w14:paraId="30BC05A8" w14:textId="7F5633CD" w:rsidR="00A3776A" w:rsidRDefault="00A3776A">
      <w:pPr>
        <w:pStyle w:val="Textocomentario"/>
      </w:pPr>
      <w:r>
        <w:rPr>
          <w:rStyle w:val="Refdecomentario"/>
        </w:rPr>
        <w:annotationRef/>
      </w:r>
      <w:r>
        <w:t>Esto es un esquema de “WORKFARE”…. De beneficios asociados a una tarea….</w:t>
      </w:r>
      <w:r w:rsidR="00ED3121">
        <w:t>??</w:t>
      </w:r>
    </w:p>
  </w:comment>
  <w:comment w:id="13" w:author="Autor" w:initials="A">
    <w:p w14:paraId="10A39B1B" w14:textId="2998BA44" w:rsidR="00A57854" w:rsidRDefault="00A57854">
      <w:pPr>
        <w:pStyle w:val="Textocomentario"/>
      </w:pPr>
      <w:r>
        <w:rPr>
          <w:rStyle w:val="Refdecomentario"/>
        </w:rPr>
        <w:annotationRef/>
      </w:r>
      <w:r>
        <w:t xml:space="preserve">Ok. Afirmación fuerte y clara para el lector. </w:t>
      </w:r>
      <w:r w:rsidR="00ED3121">
        <w:t>Se entiende perfectamente. Aunque quedó un poquito corto el párrafo..</w:t>
      </w:r>
    </w:p>
  </w:comment>
  <w:comment w:id="14" w:author="Autor" w:initials="A">
    <w:p w14:paraId="67EBF340" w14:textId="42B5C139" w:rsidR="00D9119A" w:rsidRDefault="00D9119A">
      <w:pPr>
        <w:pStyle w:val="Textocomentario"/>
      </w:pPr>
      <w:r>
        <w:rPr>
          <w:rStyle w:val="Refdecomentario"/>
        </w:rPr>
        <w:annotationRef/>
      </w:r>
      <w:r>
        <w:t>“por su orientación inclusiva”</w:t>
      </w:r>
    </w:p>
  </w:comment>
  <w:comment w:id="15" w:author="Autor" w:initials="A">
    <w:p w14:paraId="7D2B166C" w14:textId="6A174694" w:rsidR="00D9119A" w:rsidRDefault="00D9119A">
      <w:pPr>
        <w:pStyle w:val="Textocomentario"/>
      </w:pPr>
      <w:r>
        <w:rPr>
          <w:rStyle w:val="Refdecomentario"/>
        </w:rPr>
        <w:annotationRef/>
      </w:r>
      <w:r>
        <w:t xml:space="preserve">Por favor, agregar una pista que de cuenta de la afirmación de la “expansión de la educación como mecanismo de contención social”….. </w:t>
      </w:r>
    </w:p>
  </w:comment>
  <w:comment w:id="16" w:author="Autor" w:initials="A">
    <w:p w14:paraId="68943B47" w14:textId="70AE03DF" w:rsidR="006372AB" w:rsidRDefault="006372AB">
      <w:pPr>
        <w:pStyle w:val="Textocomentario"/>
      </w:pPr>
      <w:r>
        <w:rPr>
          <w:rStyle w:val="Refdecomentario"/>
        </w:rPr>
        <w:annotationRef/>
      </w:r>
      <w:r>
        <w:t xml:space="preserve">Falto algo acá…. </w:t>
      </w:r>
      <w:r w:rsidR="00AD67D1">
        <w:t>Sería: e</w:t>
      </w:r>
      <w:r>
        <w:t>nfoques</w:t>
      </w:r>
      <w:r w:rsidR="00AD67D1">
        <w:t>….</w:t>
      </w:r>
    </w:p>
  </w:comment>
  <w:comment w:id="17" w:author="Autor" w:initials="A">
    <w:p w14:paraId="741A68FF" w14:textId="051D852A" w:rsidR="00585883" w:rsidRDefault="00585883">
      <w:pPr>
        <w:pStyle w:val="Textocomentario"/>
      </w:pPr>
      <w:r>
        <w:rPr>
          <w:rStyle w:val="Refdecomentario"/>
        </w:rPr>
        <w:annotationRef/>
      </w:r>
      <w:r>
        <w:t xml:space="preserve">Se disminuyeron las org sociales en favor de las org sociales…. Ver concordancia redacción…. </w:t>
      </w:r>
    </w:p>
  </w:comment>
  <w:comment w:id="18" w:author="Autor" w:initials="A">
    <w:p w14:paraId="4537088D" w14:textId="2EDA5F89" w:rsidR="00A0399F" w:rsidRDefault="00A0399F">
      <w:pPr>
        <w:pStyle w:val="Textocomentario"/>
      </w:pPr>
      <w:r>
        <w:rPr>
          <w:rStyle w:val="Refdecomentario"/>
        </w:rPr>
        <w:annotationRef/>
      </w:r>
      <w:r>
        <w:t xml:space="preserve">Suprimir esa expresión. </w:t>
      </w:r>
    </w:p>
  </w:comment>
  <w:comment w:id="19" w:author="Autor" w:initials="A">
    <w:p w14:paraId="7A50C8BA" w14:textId="34308CD4" w:rsidR="00786E91" w:rsidRDefault="00786E91">
      <w:pPr>
        <w:pStyle w:val="Textocomentario"/>
      </w:pPr>
      <w:r>
        <w:rPr>
          <w:rStyle w:val="Refdecomentario"/>
        </w:rPr>
        <w:annotationRef/>
      </w:r>
      <w:r>
        <w:t xml:space="preserve">Seria </w:t>
      </w:r>
      <w:r w:rsidR="00A0399F">
        <w:t>“</w:t>
      </w:r>
      <w:r>
        <w:t>sus debilidades</w:t>
      </w:r>
      <w:r w:rsidR="00A0399F">
        <w:t>”</w:t>
      </w:r>
      <w:r>
        <w:t>……</w:t>
      </w:r>
    </w:p>
  </w:comment>
  <w:comment w:id="20" w:author="Autor" w:initials="A">
    <w:p w14:paraId="45977EC0" w14:textId="09BDA209" w:rsidR="00A0399F" w:rsidRDefault="00A0399F">
      <w:pPr>
        <w:pStyle w:val="Textocomentario"/>
      </w:pPr>
      <w:r>
        <w:rPr>
          <w:rStyle w:val="Refdecomentario"/>
        </w:rPr>
        <w:annotationRef/>
      </w:r>
      <w:r>
        <w:t xml:space="preserve">No se comprende esta expresión….. </w:t>
      </w:r>
    </w:p>
  </w:comment>
  <w:comment w:id="21" w:author="Autor" w:initials="A">
    <w:p w14:paraId="4AFDDAE8" w14:textId="6C7E1A94" w:rsidR="00A0399F" w:rsidRDefault="00A0399F">
      <w:pPr>
        <w:pStyle w:val="Textocomentario"/>
      </w:pPr>
      <w:r>
        <w:rPr>
          <w:rStyle w:val="Refdecomentario"/>
        </w:rPr>
        <w:annotationRef/>
      </w:r>
      <w:r>
        <w:t xml:space="preserve">Se refiere solamente al GASTO PUBLICO, omitiendo el gasto privado. Es importante tener en cuenta si hubo un aumento del gasto total, o simplemente una reasignación entre gasto privado y gasto público. </w:t>
      </w:r>
    </w:p>
  </w:comment>
  <w:comment w:id="22" w:author="Autor" w:initials="A">
    <w:p w14:paraId="124B73D0" w14:textId="4C986ED6" w:rsidR="00233D62" w:rsidRDefault="00233D62">
      <w:pPr>
        <w:pStyle w:val="Textocomentario"/>
      </w:pPr>
      <w:r>
        <w:rPr>
          <w:rStyle w:val="Refdecomentario"/>
        </w:rPr>
        <w:annotationRef/>
      </w:r>
      <w:r>
        <w:t xml:space="preserve">Afirmación dura y clara! </w:t>
      </w:r>
    </w:p>
  </w:comment>
  <w:comment w:id="23" w:author="Autor" w:initials="A">
    <w:p w14:paraId="0EE0E927" w14:textId="6EAA8F4B" w:rsidR="00233D62" w:rsidRDefault="00233D62">
      <w:pPr>
        <w:pStyle w:val="Textocomentario"/>
      </w:pPr>
      <w:r>
        <w:rPr>
          <w:rStyle w:val="Refdecomentario"/>
        </w:rPr>
        <w:annotationRef/>
      </w:r>
      <w:r>
        <w:t>Duro y directo. Otra afirmación contundente del artículo!</w:t>
      </w:r>
    </w:p>
  </w:comment>
  <w:comment w:id="24" w:author="Autor" w:initials="A">
    <w:p w14:paraId="55AF2B39" w14:textId="03746765" w:rsidR="00903A75" w:rsidRDefault="00903A75">
      <w:pPr>
        <w:pStyle w:val="Textocomentario"/>
      </w:pPr>
      <w:r>
        <w:rPr>
          <w:rStyle w:val="Refdecomentario"/>
        </w:rPr>
        <w:annotationRef/>
      </w:r>
      <w:r>
        <w:t>Excelente observación….. Explica el entusiasmo por algunas metodologías de intervención social, basadas en transferencias monetarias.</w:t>
      </w:r>
    </w:p>
  </w:comment>
  <w:comment w:id="25" w:author="Autor" w:initials="A">
    <w:p w14:paraId="23AF3F12" w14:textId="793F3BC8" w:rsidR="00903A75" w:rsidRDefault="00903A75">
      <w:pPr>
        <w:pStyle w:val="Textocomentario"/>
      </w:pPr>
      <w:r>
        <w:rPr>
          <w:rStyle w:val="Refdecomentario"/>
        </w:rPr>
        <w:annotationRef/>
      </w:r>
      <w:r>
        <w:t xml:space="preserve">Excelente. Ahora veo lo de sociabilidad por donde va. En verdad, el punto de vista fue magistralmente tratado por Albert Hirschman en Salida, Voz y Lealtad. </w:t>
      </w:r>
    </w:p>
  </w:comment>
  <w:comment w:id="26" w:author="Autor" w:initials="A">
    <w:p w14:paraId="1B87B056" w14:textId="38697769" w:rsidR="00D9621C" w:rsidRDefault="00D9621C">
      <w:pPr>
        <w:pStyle w:val="Textocomentario"/>
      </w:pPr>
      <w:r>
        <w:rPr>
          <w:rStyle w:val="Refdecomentario"/>
        </w:rPr>
        <w:annotationRef/>
      </w:r>
      <w:r>
        <w:t xml:space="preserve">Aquí también juega el ambiguo carácter mercantil-social que muestran algunos de ellos, como los que se asocian a las Obras Sociales. En verdad que son coaliciones fuertes…. Tal vez se debería explorar el “espíritu público” de esos ámbitos, si es que puede rescatarse algo….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2A43EC" w15:done="0"/>
  <w15:commentEx w15:paraId="4E7CAB7F" w15:done="0"/>
  <w15:commentEx w15:paraId="1312A3DE" w15:done="0"/>
  <w15:commentEx w15:paraId="404C25B9" w15:done="0"/>
  <w15:commentEx w15:paraId="5CAD9105" w15:done="0"/>
  <w15:commentEx w15:paraId="2CE75CE1" w15:done="0"/>
  <w15:commentEx w15:paraId="37304603" w15:done="0"/>
  <w15:commentEx w15:paraId="4699B44D" w15:done="0"/>
  <w15:commentEx w15:paraId="0CECF802" w15:done="0"/>
  <w15:commentEx w15:paraId="24E6BA83" w15:done="0"/>
  <w15:commentEx w15:paraId="5FA81E42" w15:done="0"/>
  <w15:commentEx w15:paraId="30BC05A8" w15:done="0"/>
  <w15:commentEx w15:paraId="10A39B1B" w15:done="0"/>
  <w15:commentEx w15:paraId="67EBF340" w15:done="0"/>
  <w15:commentEx w15:paraId="7D2B166C" w15:done="0"/>
  <w15:commentEx w15:paraId="68943B47" w15:done="0"/>
  <w15:commentEx w15:paraId="741A68FF" w15:done="0"/>
  <w15:commentEx w15:paraId="4537088D" w15:done="0"/>
  <w15:commentEx w15:paraId="7A50C8BA" w15:done="0"/>
  <w15:commentEx w15:paraId="45977EC0" w15:done="0"/>
  <w15:commentEx w15:paraId="4AFDDAE8" w15:done="0"/>
  <w15:commentEx w15:paraId="124B73D0" w15:done="0"/>
  <w15:commentEx w15:paraId="0EE0E927" w15:done="0"/>
  <w15:commentEx w15:paraId="55AF2B39" w15:done="0"/>
  <w15:commentEx w15:paraId="23AF3F12" w15:done="0"/>
  <w15:commentEx w15:paraId="1B87B0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A43EC" w16cid:durableId="1F9E801E"/>
  <w16cid:commentId w16cid:paraId="4E7CAB7F" w16cid:durableId="1F9E806C"/>
  <w16cid:commentId w16cid:paraId="1312A3DE" w16cid:durableId="1F9E810D"/>
  <w16cid:commentId w16cid:paraId="404C25B9" w16cid:durableId="1F9E8163"/>
  <w16cid:commentId w16cid:paraId="5CAD9105" w16cid:durableId="1F9E8E38"/>
  <w16cid:commentId w16cid:paraId="2CE75CE1" w16cid:durableId="1F9E8F52"/>
  <w16cid:commentId w16cid:paraId="37304603" w16cid:durableId="1F9E9275"/>
  <w16cid:commentId w16cid:paraId="4699B44D" w16cid:durableId="1FA16B1A"/>
  <w16cid:commentId w16cid:paraId="0CECF802" w16cid:durableId="1F9E92ED"/>
  <w16cid:commentId w16cid:paraId="24E6BA83" w16cid:durableId="1F9E93C7"/>
  <w16cid:commentId w16cid:paraId="5FA81E42" w16cid:durableId="1F9E9442"/>
  <w16cid:commentId w16cid:paraId="30BC05A8" w16cid:durableId="1F9E94EC"/>
  <w16cid:commentId w16cid:paraId="10A39B1B" w16cid:durableId="1F9E97B3"/>
  <w16cid:commentId w16cid:paraId="67EBF340" w16cid:durableId="1FA12649"/>
  <w16cid:commentId w16cid:paraId="7D2B166C" w16cid:durableId="1FA126A3"/>
  <w16cid:commentId w16cid:paraId="68943B47" w16cid:durableId="1FA148C1"/>
  <w16cid:commentId w16cid:paraId="741A68FF" w16cid:durableId="1FA15394"/>
  <w16cid:commentId w16cid:paraId="4537088D" w16cid:durableId="1FA15EF4"/>
  <w16cid:commentId w16cid:paraId="7A50C8BA" w16cid:durableId="1FA15AEB"/>
  <w16cid:commentId w16cid:paraId="45977EC0" w16cid:durableId="1FA15F74"/>
  <w16cid:commentId w16cid:paraId="4AFDDAE8" w16cid:durableId="1FA16050"/>
  <w16cid:commentId w16cid:paraId="124B73D0" w16cid:durableId="1FA1624A"/>
  <w16cid:commentId w16cid:paraId="0EE0E927" w16cid:durableId="1FA16334"/>
  <w16cid:commentId w16cid:paraId="55AF2B39" w16cid:durableId="1FA16544"/>
  <w16cid:commentId w16cid:paraId="23AF3F12" w16cid:durableId="1FA16593"/>
  <w16cid:commentId w16cid:paraId="1B87B056" w16cid:durableId="1FA1699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FF6D0" w14:textId="77777777" w:rsidR="00A0158E" w:rsidRDefault="00A0158E" w:rsidP="00F81417">
      <w:pPr>
        <w:spacing w:after="0"/>
      </w:pPr>
      <w:r>
        <w:separator/>
      </w:r>
    </w:p>
  </w:endnote>
  <w:endnote w:type="continuationSeparator" w:id="0">
    <w:p w14:paraId="069DF7C7" w14:textId="77777777" w:rsidR="00A0158E" w:rsidRDefault="00A0158E" w:rsidP="00F814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F0147" w14:textId="77777777" w:rsidR="00191A99" w:rsidRDefault="00191A9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66090"/>
      <w:docPartObj>
        <w:docPartGallery w:val="Page Numbers (Bottom of Page)"/>
        <w:docPartUnique/>
      </w:docPartObj>
    </w:sdtPr>
    <w:sdtEndPr/>
    <w:sdtContent>
      <w:p w14:paraId="32F0C6E7" w14:textId="04F2F0AD" w:rsidR="008E7866" w:rsidRDefault="008E7866">
        <w:pPr>
          <w:pStyle w:val="Piedepgina"/>
          <w:jc w:val="right"/>
        </w:pPr>
        <w:r>
          <w:fldChar w:fldCharType="begin"/>
        </w:r>
        <w:r>
          <w:instrText>PAGE   \* MERGEFORMAT</w:instrText>
        </w:r>
        <w:r>
          <w:fldChar w:fldCharType="separate"/>
        </w:r>
        <w:r w:rsidR="00463577" w:rsidRPr="00463577">
          <w:rPr>
            <w:noProof/>
            <w:lang w:val="es-ES"/>
          </w:rPr>
          <w:t>1</w:t>
        </w:r>
        <w:r>
          <w:fldChar w:fldCharType="end"/>
        </w:r>
      </w:p>
    </w:sdtContent>
  </w:sdt>
  <w:p w14:paraId="5A0B6502" w14:textId="77777777" w:rsidR="008E7866" w:rsidRDefault="008E7866">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B1D65" w14:textId="77777777" w:rsidR="00191A99" w:rsidRDefault="00191A9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38789" w14:textId="77777777" w:rsidR="00A0158E" w:rsidRDefault="00A0158E" w:rsidP="00F81417">
      <w:pPr>
        <w:spacing w:after="0"/>
      </w:pPr>
      <w:r>
        <w:separator/>
      </w:r>
    </w:p>
  </w:footnote>
  <w:footnote w:type="continuationSeparator" w:id="0">
    <w:p w14:paraId="3932A848" w14:textId="77777777" w:rsidR="00A0158E" w:rsidRDefault="00A0158E" w:rsidP="00F81417">
      <w:pPr>
        <w:spacing w:after="0"/>
      </w:pPr>
      <w:r>
        <w:continuationSeparator/>
      </w:r>
    </w:p>
  </w:footnote>
  <w:footnote w:id="1">
    <w:p w14:paraId="3A2DD157" w14:textId="77777777" w:rsidR="008E7866" w:rsidRPr="001441F6" w:rsidRDefault="008E7866" w:rsidP="00FD6063">
      <w:pPr>
        <w:pStyle w:val="Textonotapie"/>
        <w:rPr>
          <w:rFonts w:ascii="Times New Roman" w:hAnsi="Times New Roman" w:cs="Times New Roman"/>
          <w:sz w:val="24"/>
          <w:szCs w:val="24"/>
        </w:rPr>
      </w:pPr>
      <w:r w:rsidRPr="001441F6">
        <w:rPr>
          <w:rStyle w:val="Refdenotaalpie"/>
          <w:rFonts w:ascii="Times New Roman" w:hAnsi="Times New Roman" w:cs="Times New Roman"/>
          <w:sz w:val="24"/>
          <w:szCs w:val="24"/>
        </w:rPr>
        <w:footnoteRef/>
      </w:r>
      <w:r w:rsidR="001441F6" w:rsidRPr="001441F6">
        <w:rPr>
          <w:rFonts w:ascii="Times New Roman" w:hAnsi="Times New Roman" w:cs="Times New Roman"/>
          <w:sz w:val="24"/>
          <w:szCs w:val="24"/>
        </w:rPr>
        <w:t>Nota sobre investigación originaria</w:t>
      </w:r>
      <w:r w:rsidRPr="001441F6">
        <w:rPr>
          <w:rFonts w:ascii="Times New Roman" w:hAnsi="Times New Roman" w:cs="Times New Roman"/>
          <w:sz w:val="24"/>
          <w:szCs w:val="24"/>
        </w:rPr>
        <w:t>.</w:t>
      </w:r>
    </w:p>
  </w:footnote>
  <w:footnote w:id="2">
    <w:p w14:paraId="0AC4BFBD" w14:textId="77777777" w:rsidR="008E7866" w:rsidRPr="001441F6" w:rsidRDefault="008E7866" w:rsidP="00F05573">
      <w:pPr>
        <w:pStyle w:val="Textonotapie"/>
        <w:rPr>
          <w:rFonts w:ascii="Times New Roman" w:hAnsi="Times New Roman" w:cs="Times New Roman"/>
          <w:sz w:val="24"/>
          <w:szCs w:val="24"/>
          <w:lang w:val="es-ES"/>
        </w:rPr>
      </w:pPr>
      <w:r w:rsidRPr="001441F6">
        <w:rPr>
          <w:rStyle w:val="Refdenotaalpie"/>
          <w:rFonts w:ascii="Times New Roman" w:hAnsi="Times New Roman" w:cs="Times New Roman"/>
          <w:sz w:val="24"/>
          <w:szCs w:val="24"/>
        </w:rPr>
        <w:footnoteRef/>
      </w:r>
      <w:r w:rsidRPr="001441F6">
        <w:rPr>
          <w:rFonts w:ascii="Times New Roman" w:hAnsi="Times New Roman" w:cs="Times New Roman"/>
          <w:sz w:val="24"/>
          <w:szCs w:val="24"/>
        </w:rPr>
        <w:t xml:space="preserve"> </w:t>
      </w:r>
      <w:r w:rsidRPr="001441F6">
        <w:rPr>
          <w:rFonts w:ascii="Times New Roman" w:hAnsi="Times New Roman" w:cs="Times New Roman"/>
          <w:sz w:val="24"/>
          <w:szCs w:val="24"/>
          <w:lang w:val="es-ES"/>
        </w:rPr>
        <w:t>Para el conjunto de América Latina, ver Filgueira, 2013</w:t>
      </w:r>
    </w:p>
  </w:footnote>
  <w:footnote w:id="3">
    <w:p w14:paraId="38FC73ED" w14:textId="77777777" w:rsidR="008E7866" w:rsidRPr="00FD6063" w:rsidRDefault="008E7866" w:rsidP="00F877C3">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00F877C3">
        <w:rPr>
          <w:rFonts w:ascii="Times New Roman" w:hAnsi="Times New Roman" w:cs="Times New Roman"/>
          <w:sz w:val="24"/>
          <w:szCs w:val="24"/>
        </w:rPr>
        <w:t>E</w:t>
      </w:r>
      <w:r w:rsidRPr="00FD6063">
        <w:rPr>
          <w:rFonts w:ascii="Times New Roman" w:hAnsi="Times New Roman" w:cs="Times New Roman"/>
          <w:sz w:val="24"/>
          <w:szCs w:val="24"/>
        </w:rPr>
        <w:t xml:space="preserve">l año 2000 </w:t>
      </w:r>
      <w:r w:rsidR="00F877C3">
        <w:rPr>
          <w:rFonts w:ascii="Times New Roman" w:hAnsi="Times New Roman" w:cs="Times New Roman"/>
          <w:sz w:val="24"/>
          <w:szCs w:val="24"/>
        </w:rPr>
        <w:t>es</w:t>
      </w:r>
      <w:r>
        <w:rPr>
          <w:rFonts w:ascii="Times New Roman" w:hAnsi="Times New Roman" w:cs="Times New Roman"/>
          <w:sz w:val="24"/>
          <w:szCs w:val="24"/>
        </w:rPr>
        <w:t xml:space="preserve"> </w:t>
      </w:r>
      <w:r w:rsidRPr="00FD6063">
        <w:rPr>
          <w:rFonts w:ascii="Times New Roman" w:hAnsi="Times New Roman" w:cs="Times New Roman"/>
          <w:sz w:val="24"/>
          <w:szCs w:val="24"/>
        </w:rPr>
        <w:t xml:space="preserve">demostrativo del patrón de protección y bienestar social </w:t>
      </w:r>
      <w:r>
        <w:rPr>
          <w:rFonts w:ascii="Times New Roman" w:hAnsi="Times New Roman" w:cs="Times New Roman"/>
          <w:sz w:val="24"/>
          <w:szCs w:val="24"/>
        </w:rPr>
        <w:t>de</w:t>
      </w:r>
      <w:r w:rsidRPr="00FD6063">
        <w:rPr>
          <w:rFonts w:ascii="Times New Roman" w:hAnsi="Times New Roman" w:cs="Times New Roman"/>
          <w:sz w:val="24"/>
          <w:szCs w:val="24"/>
        </w:rPr>
        <w:t xml:space="preserve"> la década, y p</w:t>
      </w:r>
      <w:r w:rsidR="00F877C3">
        <w:rPr>
          <w:rFonts w:ascii="Times New Roman" w:hAnsi="Times New Roman" w:cs="Times New Roman"/>
          <w:sz w:val="24"/>
          <w:szCs w:val="24"/>
        </w:rPr>
        <w:t>ermite</w:t>
      </w:r>
      <w:r w:rsidRPr="00FD6063">
        <w:rPr>
          <w:rFonts w:ascii="Times New Roman" w:hAnsi="Times New Roman" w:cs="Times New Roman"/>
          <w:sz w:val="24"/>
          <w:szCs w:val="24"/>
        </w:rPr>
        <w:t xml:space="preserve"> evitar datos </w:t>
      </w:r>
      <w:r w:rsidR="00F877C3">
        <w:rPr>
          <w:rFonts w:ascii="Times New Roman" w:hAnsi="Times New Roman" w:cs="Times New Roman"/>
          <w:sz w:val="24"/>
          <w:szCs w:val="24"/>
        </w:rPr>
        <w:t>de</w:t>
      </w:r>
      <w:r w:rsidRPr="00FD6063">
        <w:rPr>
          <w:rFonts w:ascii="Times New Roman" w:hAnsi="Times New Roman" w:cs="Times New Roman"/>
          <w:sz w:val="24"/>
          <w:szCs w:val="24"/>
        </w:rPr>
        <w:t xml:space="preserve"> “la crisis” de 2001, demasiado atípicos para utilizarlos como referencia. </w:t>
      </w:r>
      <w:r w:rsidRPr="00FD6063">
        <w:rPr>
          <w:rFonts w:ascii="Times New Roman" w:hAnsi="Times New Roman" w:cs="Times New Roman"/>
          <w:sz w:val="24"/>
          <w:szCs w:val="24"/>
          <w:lang w:val="es-ES"/>
        </w:rPr>
        <w:t xml:space="preserve">Los datos </w:t>
      </w:r>
      <w:r w:rsidR="00F877C3">
        <w:rPr>
          <w:rFonts w:ascii="Times New Roman" w:hAnsi="Times New Roman" w:cs="Times New Roman"/>
          <w:sz w:val="24"/>
          <w:szCs w:val="24"/>
          <w:lang w:val="es-ES"/>
        </w:rPr>
        <w:t>expuestos</w:t>
      </w:r>
      <w:r w:rsidRPr="00FD6063">
        <w:rPr>
          <w:rFonts w:ascii="Times New Roman" w:hAnsi="Times New Roman" w:cs="Times New Roman"/>
          <w:sz w:val="24"/>
          <w:szCs w:val="24"/>
          <w:lang w:val="es-ES"/>
        </w:rPr>
        <w:t xml:space="preserve"> provienen de las siguientes fuentes institucionales y bibliográficas, ordena</w:t>
      </w:r>
      <w:r>
        <w:rPr>
          <w:rFonts w:ascii="Times New Roman" w:hAnsi="Times New Roman" w:cs="Times New Roman"/>
          <w:sz w:val="24"/>
          <w:szCs w:val="24"/>
          <w:lang w:val="es-ES"/>
        </w:rPr>
        <w:t>das</w:t>
      </w:r>
      <w:r w:rsidRPr="00FD6063">
        <w:rPr>
          <w:rFonts w:ascii="Times New Roman" w:hAnsi="Times New Roman" w:cs="Times New Roman"/>
          <w:sz w:val="24"/>
          <w:szCs w:val="24"/>
          <w:lang w:val="es-ES"/>
        </w:rPr>
        <w:t xml:space="preserve"> según </w:t>
      </w:r>
      <w:r w:rsidR="00F877C3">
        <w:rPr>
          <w:rFonts w:ascii="Times New Roman" w:hAnsi="Times New Roman" w:cs="Times New Roman"/>
          <w:sz w:val="24"/>
          <w:szCs w:val="24"/>
          <w:lang w:val="es-ES"/>
        </w:rPr>
        <w:t>esta</w:t>
      </w:r>
      <w:r w:rsidRPr="00FD6063">
        <w:rPr>
          <w:rFonts w:ascii="Times New Roman" w:hAnsi="Times New Roman" w:cs="Times New Roman"/>
          <w:sz w:val="24"/>
          <w:szCs w:val="24"/>
          <w:lang w:val="es-ES"/>
        </w:rPr>
        <w:t xml:space="preserve"> </w:t>
      </w:r>
      <w:r>
        <w:rPr>
          <w:rFonts w:ascii="Times New Roman" w:hAnsi="Times New Roman" w:cs="Times New Roman"/>
          <w:sz w:val="24"/>
          <w:szCs w:val="24"/>
          <w:lang w:val="es-ES"/>
        </w:rPr>
        <w:t>prioridad</w:t>
      </w:r>
      <w:r w:rsidRPr="00FD6063">
        <w:rPr>
          <w:rFonts w:ascii="Times New Roman" w:hAnsi="Times New Roman" w:cs="Times New Roman"/>
          <w:sz w:val="24"/>
          <w:szCs w:val="24"/>
          <w:lang w:val="es-ES"/>
        </w:rPr>
        <w:t>: las autoras, en el proyecto consignado en nota 1; Secret</w:t>
      </w:r>
      <w:r>
        <w:rPr>
          <w:rFonts w:ascii="Times New Roman" w:hAnsi="Times New Roman" w:cs="Times New Roman"/>
          <w:sz w:val="24"/>
          <w:szCs w:val="24"/>
          <w:lang w:val="es-ES"/>
        </w:rPr>
        <w:t>aría de Programación Económica</w:t>
      </w:r>
      <w:r w:rsidRPr="00FD6063">
        <w:rPr>
          <w:rFonts w:ascii="Times New Roman" w:hAnsi="Times New Roman" w:cs="Times New Roman"/>
          <w:sz w:val="24"/>
          <w:szCs w:val="24"/>
          <w:lang w:val="es-ES"/>
        </w:rPr>
        <w:t xml:space="preserve">; Boletín de Seguridad Social 2011 (4ª), 2015 (4ª) y 2017 (2ª); OIT-Buenos Aires, 2015; Observatorio de Seguridad Social ANSES (varios); Rofman y </w:t>
      </w:r>
      <w:r>
        <w:rPr>
          <w:rFonts w:ascii="Times New Roman" w:hAnsi="Times New Roman" w:cs="Times New Roman"/>
          <w:sz w:val="24"/>
          <w:szCs w:val="24"/>
          <w:lang w:val="es-ES"/>
        </w:rPr>
        <w:t>Oliveri</w:t>
      </w:r>
      <w:r w:rsidRPr="00FD6063">
        <w:rPr>
          <w:rFonts w:ascii="Times New Roman" w:hAnsi="Times New Roman" w:cs="Times New Roman"/>
          <w:sz w:val="24"/>
          <w:szCs w:val="24"/>
          <w:lang w:val="es-ES"/>
        </w:rPr>
        <w:t>, 2011 (incluye estimaci</w:t>
      </w:r>
      <w:r w:rsidR="00F877C3">
        <w:rPr>
          <w:rFonts w:ascii="Times New Roman" w:hAnsi="Times New Roman" w:cs="Times New Roman"/>
          <w:sz w:val="24"/>
          <w:szCs w:val="24"/>
          <w:lang w:val="es-ES"/>
        </w:rPr>
        <w:t>o</w:t>
      </w:r>
      <w:r w:rsidRPr="00FD6063">
        <w:rPr>
          <w:rFonts w:ascii="Times New Roman" w:hAnsi="Times New Roman" w:cs="Times New Roman"/>
          <w:sz w:val="24"/>
          <w:szCs w:val="24"/>
          <w:lang w:val="es-ES"/>
        </w:rPr>
        <w:t>n</w:t>
      </w:r>
      <w:r w:rsidR="00F877C3">
        <w:rPr>
          <w:rFonts w:ascii="Times New Roman" w:hAnsi="Times New Roman" w:cs="Times New Roman"/>
          <w:sz w:val="24"/>
          <w:szCs w:val="24"/>
          <w:lang w:val="es-ES"/>
        </w:rPr>
        <w:t>es</w:t>
      </w:r>
      <w:r w:rsidRPr="00FD6063">
        <w:rPr>
          <w:rFonts w:ascii="Times New Roman" w:hAnsi="Times New Roman" w:cs="Times New Roman"/>
          <w:sz w:val="24"/>
          <w:szCs w:val="24"/>
          <w:lang w:val="es-ES"/>
        </w:rPr>
        <w:t>); CEPED (varios); Beccaria, 2007; Lindenboim, 2010</w:t>
      </w:r>
      <w:r>
        <w:rPr>
          <w:rFonts w:ascii="Times New Roman" w:hAnsi="Times New Roman" w:cs="Times New Roman"/>
          <w:sz w:val="24"/>
          <w:szCs w:val="24"/>
          <w:lang w:val="es-ES"/>
        </w:rPr>
        <w:t>; CIFRA (varios)</w:t>
      </w:r>
      <w:r w:rsidRPr="00FD6063">
        <w:rPr>
          <w:rFonts w:ascii="Times New Roman" w:hAnsi="Times New Roman" w:cs="Times New Roman"/>
          <w:sz w:val="24"/>
          <w:szCs w:val="24"/>
          <w:lang w:val="es-ES"/>
        </w:rPr>
        <w:t>. Advert</w:t>
      </w:r>
      <w:r>
        <w:rPr>
          <w:rFonts w:ascii="Times New Roman" w:hAnsi="Times New Roman" w:cs="Times New Roman"/>
          <w:sz w:val="24"/>
          <w:szCs w:val="24"/>
          <w:lang w:val="es-ES"/>
        </w:rPr>
        <w:t>encia:</w:t>
      </w:r>
      <w:r w:rsidRPr="00FD6063">
        <w:rPr>
          <w:rFonts w:ascii="Times New Roman" w:hAnsi="Times New Roman" w:cs="Times New Roman"/>
          <w:sz w:val="24"/>
          <w:szCs w:val="24"/>
          <w:lang w:val="es-ES"/>
        </w:rPr>
        <w:t xml:space="preserve"> los datos de años 2000 y 2015 no son estrictamente comparables, </w:t>
      </w:r>
      <w:r>
        <w:rPr>
          <w:rFonts w:ascii="Times New Roman" w:hAnsi="Times New Roman" w:cs="Times New Roman"/>
          <w:sz w:val="24"/>
          <w:szCs w:val="24"/>
          <w:lang w:val="es-ES"/>
        </w:rPr>
        <w:t>sea</w:t>
      </w:r>
      <w:r w:rsidRPr="00FD6063">
        <w:rPr>
          <w:rFonts w:ascii="Times New Roman" w:hAnsi="Times New Roman" w:cs="Times New Roman"/>
          <w:sz w:val="24"/>
          <w:szCs w:val="24"/>
          <w:lang w:val="es-ES"/>
        </w:rPr>
        <w:t xml:space="preserve"> por revisiones metodológicas y empíricas “habituales”, </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 xml:space="preserve"> por efecto de la intervención y destrucción técnico-institucional que entre 2007</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2015 sufrió el INDEC, institución rectora en materia estadística. Sin embargo, </w:t>
      </w:r>
      <w:r>
        <w:rPr>
          <w:rFonts w:ascii="Times New Roman" w:hAnsi="Times New Roman" w:cs="Times New Roman"/>
          <w:sz w:val="24"/>
          <w:szCs w:val="24"/>
          <w:lang w:val="es-ES"/>
        </w:rPr>
        <w:t xml:space="preserve">el conjunto es </w:t>
      </w:r>
      <w:r w:rsidRPr="00FD6063">
        <w:rPr>
          <w:rFonts w:ascii="Times New Roman" w:hAnsi="Times New Roman" w:cs="Times New Roman"/>
          <w:sz w:val="24"/>
          <w:szCs w:val="24"/>
          <w:lang w:val="es-ES"/>
        </w:rPr>
        <w:t>un razonable panorama de las condiciones de inicio y cierre del período estudi</w:t>
      </w:r>
      <w:r>
        <w:rPr>
          <w:rFonts w:ascii="Times New Roman" w:hAnsi="Times New Roman" w:cs="Times New Roman"/>
          <w:sz w:val="24"/>
          <w:szCs w:val="24"/>
          <w:lang w:val="es-ES"/>
        </w:rPr>
        <w:t>ad</w:t>
      </w:r>
      <w:r w:rsidRPr="00FD6063">
        <w:rPr>
          <w:rFonts w:ascii="Times New Roman" w:hAnsi="Times New Roman" w:cs="Times New Roman"/>
          <w:sz w:val="24"/>
          <w:szCs w:val="24"/>
          <w:lang w:val="es-ES"/>
        </w:rPr>
        <w:t xml:space="preserve">o. </w:t>
      </w:r>
    </w:p>
  </w:footnote>
  <w:footnote w:id="4">
    <w:p w14:paraId="47F822C3" w14:textId="77777777" w:rsidR="008E7866" w:rsidRPr="00FD6063"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 xml:space="preserve">El SMVM </w:t>
      </w:r>
      <w:r w:rsidR="00F877C3">
        <w:rPr>
          <w:rFonts w:ascii="Times New Roman" w:hAnsi="Times New Roman" w:cs="Times New Roman"/>
          <w:sz w:val="24"/>
          <w:szCs w:val="24"/>
          <w:lang w:val="es-ES"/>
        </w:rPr>
        <w:t>fue</w:t>
      </w:r>
      <w:r w:rsidRPr="00FD6063">
        <w:rPr>
          <w:rFonts w:ascii="Times New Roman" w:hAnsi="Times New Roman" w:cs="Times New Roman"/>
          <w:sz w:val="24"/>
          <w:szCs w:val="24"/>
          <w:lang w:val="es-ES"/>
        </w:rPr>
        <w:t xml:space="preserve"> congelado entre 1993 y 2001 en $ 200, equivalente a 200 dólares. La asignación del programa (no retributiva) oscilaba entre $ 160/200, según la tarea (Chiara y Di Virgilio, 2005).</w:t>
      </w:r>
    </w:p>
  </w:footnote>
  <w:footnote w:id="5">
    <w:p w14:paraId="155A809D" w14:textId="77777777" w:rsidR="008E7866" w:rsidRPr="00FF577B"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F577B">
        <w:rPr>
          <w:rFonts w:ascii="Times New Roman" w:hAnsi="Times New Roman" w:cs="Times New Roman"/>
          <w:sz w:val="24"/>
          <w:szCs w:val="24"/>
          <w:lang w:val="es-ES"/>
        </w:rPr>
        <w:t>El año 1999 es el más próximo de los disponibles para los objetivos de este artículo.</w:t>
      </w:r>
    </w:p>
  </w:footnote>
  <w:footnote w:id="6">
    <w:p w14:paraId="4C04BE7B" w14:textId="77777777"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Segu</w:t>
      </w:r>
      <w:r>
        <w:rPr>
          <w:rFonts w:ascii="Times New Roman" w:hAnsi="Times New Roman" w:cs="Times New Roman"/>
          <w:sz w:val="24"/>
          <w:szCs w:val="24"/>
        </w:rPr>
        <w:t xml:space="preserve">imos el orden </w:t>
      </w:r>
      <w:r w:rsidRPr="00FF577B">
        <w:rPr>
          <w:rFonts w:ascii="Times New Roman" w:hAnsi="Times New Roman" w:cs="Times New Roman"/>
          <w:sz w:val="24"/>
          <w:szCs w:val="24"/>
        </w:rPr>
        <w:t>anterior.</w:t>
      </w:r>
    </w:p>
  </w:footnote>
  <w:footnote w:id="7">
    <w:p w14:paraId="6D0C5E68" w14:textId="77777777"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Datos propios elaborados por Alejandra Beccaria para la investigación </w:t>
      </w:r>
      <w:r>
        <w:rPr>
          <w:rFonts w:ascii="Times New Roman" w:hAnsi="Times New Roman" w:cs="Times New Roman"/>
          <w:sz w:val="24"/>
          <w:szCs w:val="24"/>
        </w:rPr>
        <w:t>citada</w:t>
      </w:r>
      <w:r w:rsidRPr="00FF577B">
        <w:rPr>
          <w:rFonts w:ascii="Times New Roman" w:hAnsi="Times New Roman" w:cs="Times New Roman"/>
          <w:sz w:val="24"/>
          <w:szCs w:val="24"/>
        </w:rPr>
        <w:t xml:space="preserve"> en nota 1.</w:t>
      </w:r>
    </w:p>
  </w:footnote>
  <w:footnote w:id="8">
    <w:p w14:paraId="0E8EA0F0" w14:textId="77777777"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Garay (2010) analiza distintas estrategias, correspondientes a distintos proyectos políticos</w:t>
      </w:r>
      <w:r w:rsidRPr="00FD6063">
        <w:rPr>
          <w:rFonts w:ascii="Times New Roman" w:hAnsi="Times New Roman" w:cs="Times New Roman"/>
          <w:sz w:val="24"/>
          <w:szCs w:val="24"/>
        </w:rPr>
        <w:t>.</w:t>
      </w:r>
    </w:p>
  </w:footnote>
  <w:footnote w:id="9">
    <w:p w14:paraId="10C0D30F" w14:textId="77777777" w:rsidR="008E7866" w:rsidRPr="001655F3" w:rsidRDefault="008E7866" w:rsidP="009C7055">
      <w:pPr>
        <w:pStyle w:val="Textonotapie"/>
        <w:spacing w:line="480" w:lineRule="auto"/>
        <w:rPr>
          <w:rFonts w:ascii="Times New Roman" w:hAnsi="Times New Roman" w:cs="Times New Roman"/>
          <w:sz w:val="24"/>
          <w:szCs w:val="24"/>
        </w:rPr>
      </w:pPr>
      <w:r>
        <w:rPr>
          <w:rStyle w:val="Refdenotaalpie"/>
        </w:rPr>
        <w:footnoteRef/>
      </w:r>
      <w:r>
        <w:t xml:space="preserve"> </w:t>
      </w:r>
      <w:r w:rsidRPr="001655F3">
        <w:rPr>
          <w:rFonts w:ascii="Times New Roman" w:hAnsi="Times New Roman" w:cs="Times New Roman"/>
          <w:sz w:val="24"/>
          <w:szCs w:val="24"/>
        </w:rPr>
        <w:t xml:space="preserve">Aunque los números son controvertidos, puede decirse que entre 2003 y 2015 se crearon algo más de cinco millones de puestos de trabajo, mayormente registrados. Aquí </w:t>
      </w:r>
      <w:r w:rsidR="009C7055">
        <w:rPr>
          <w:rFonts w:ascii="Times New Roman" w:hAnsi="Times New Roman" w:cs="Times New Roman"/>
          <w:sz w:val="24"/>
          <w:szCs w:val="24"/>
        </w:rPr>
        <w:t>utilizamos</w:t>
      </w:r>
      <w:r w:rsidRPr="001655F3">
        <w:rPr>
          <w:rFonts w:ascii="Times New Roman" w:hAnsi="Times New Roman" w:cs="Times New Roman"/>
          <w:sz w:val="24"/>
          <w:szCs w:val="24"/>
        </w:rPr>
        <w:t xml:space="preserve"> el cálculo de Kennedy y otros/CEPED (2018) que, </w:t>
      </w:r>
      <w:r w:rsidR="009C7055">
        <w:rPr>
          <w:rFonts w:ascii="Times New Roman" w:hAnsi="Times New Roman" w:cs="Times New Roman"/>
          <w:sz w:val="24"/>
          <w:szCs w:val="24"/>
        </w:rPr>
        <w:t>empalmando una</w:t>
      </w:r>
      <w:r w:rsidRPr="001655F3">
        <w:rPr>
          <w:rFonts w:ascii="Times New Roman" w:hAnsi="Times New Roman" w:cs="Times New Roman"/>
          <w:sz w:val="24"/>
          <w:szCs w:val="24"/>
        </w:rPr>
        <w:t xml:space="preserve"> serie completa 1993-2017, indica 9.883.355</w:t>
      </w:r>
      <w:r>
        <w:rPr>
          <w:rFonts w:ascii="Times New Roman" w:hAnsi="Times New Roman" w:cs="Times New Roman"/>
          <w:sz w:val="24"/>
          <w:szCs w:val="24"/>
        </w:rPr>
        <w:t xml:space="preserve"> y 15.020.972 puestos para 2003 y </w:t>
      </w:r>
      <w:r w:rsidRPr="001655F3">
        <w:rPr>
          <w:rFonts w:ascii="Times New Roman" w:hAnsi="Times New Roman" w:cs="Times New Roman"/>
          <w:sz w:val="24"/>
          <w:szCs w:val="24"/>
        </w:rPr>
        <w:t>2015, respectivamente.</w:t>
      </w:r>
    </w:p>
  </w:footnote>
  <w:footnote w:id="10">
    <w:p w14:paraId="506D9EF2" w14:textId="77777777" w:rsidR="008E7866" w:rsidRPr="009A1D0F" w:rsidRDefault="008E7866" w:rsidP="009C7055">
      <w:pPr>
        <w:pStyle w:val="Textonotapie"/>
        <w:spacing w:line="480" w:lineRule="auto"/>
        <w:rPr>
          <w:rFonts w:ascii="Times New Roman" w:hAnsi="Times New Roman" w:cs="Times New Roman"/>
          <w:color w:val="FF0000"/>
          <w:sz w:val="24"/>
          <w:szCs w:val="24"/>
        </w:rPr>
      </w:pPr>
      <w:r w:rsidRPr="001655F3">
        <w:rPr>
          <w:rStyle w:val="Refdenotaalpie"/>
          <w:rFonts w:ascii="Times New Roman" w:hAnsi="Times New Roman" w:cs="Times New Roman"/>
          <w:sz w:val="24"/>
          <w:szCs w:val="24"/>
        </w:rPr>
        <w:footnoteRef/>
      </w:r>
      <w:r w:rsidRPr="001655F3">
        <w:rPr>
          <w:rFonts w:ascii="Times New Roman" w:hAnsi="Times New Roman" w:cs="Times New Roman"/>
          <w:sz w:val="24"/>
          <w:szCs w:val="24"/>
        </w:rPr>
        <w:t xml:space="preserve"> La matrícula educativa había aumentado en décadas anteriores, </w:t>
      </w:r>
      <w:r>
        <w:rPr>
          <w:rFonts w:ascii="Times New Roman" w:hAnsi="Times New Roman" w:cs="Times New Roman"/>
          <w:sz w:val="24"/>
          <w:szCs w:val="24"/>
        </w:rPr>
        <w:t xml:space="preserve">como mecanismo de contención social. Así, la suba de cobertura fue comparativamente menos marcada, concentrándose particularmente en el nivel inicial. </w:t>
      </w:r>
    </w:p>
  </w:footnote>
  <w:footnote w:id="11">
    <w:p w14:paraId="1877821B" w14:textId="77777777" w:rsidR="008E7866" w:rsidRPr="009E0047" w:rsidRDefault="008E7866" w:rsidP="009C7055">
      <w:pPr>
        <w:pStyle w:val="Textonotapie"/>
        <w:spacing w:line="480" w:lineRule="auto"/>
      </w:pPr>
      <w:r w:rsidRPr="001C342D">
        <w:rPr>
          <w:rStyle w:val="Refdenotaalpie"/>
          <w:rFonts w:ascii="Times New Roman" w:hAnsi="Times New Roman" w:cs="Times New Roman"/>
          <w:sz w:val="24"/>
          <w:szCs w:val="24"/>
        </w:rPr>
        <w:footnoteRef/>
      </w:r>
      <w:r w:rsidRPr="001C342D">
        <w:rPr>
          <w:rFonts w:ascii="Times New Roman" w:hAnsi="Times New Roman" w:cs="Times New Roman"/>
          <w:sz w:val="24"/>
          <w:szCs w:val="24"/>
        </w:rPr>
        <w:t xml:space="preserve"> El cuadro 1 ofrece un primer ordenamiento comparado intersectorial</w:t>
      </w:r>
      <w:r>
        <w:t xml:space="preserve">. </w:t>
      </w:r>
    </w:p>
  </w:footnote>
  <w:footnote w:id="12">
    <w:p w14:paraId="3BC717A2" w14:textId="77777777" w:rsidR="008E7866" w:rsidRPr="00FD6063" w:rsidRDefault="008E7866" w:rsidP="00AB1DF8">
      <w:pPr>
        <w:pStyle w:val="Textonotapie"/>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número de beneficios nacionales creció un 87 % entre 2003 y 2015</w:t>
      </w:r>
      <w:r>
        <w:rPr>
          <w:rFonts w:ascii="Times New Roman" w:hAnsi="Times New Roman" w:cs="Times New Roman"/>
          <w:sz w:val="24"/>
          <w:szCs w:val="24"/>
        </w:rPr>
        <w:t>.</w:t>
      </w:r>
      <w:r w:rsidRPr="00FD6063">
        <w:rPr>
          <w:rFonts w:ascii="Times New Roman" w:hAnsi="Times New Roman" w:cs="Times New Roman"/>
          <w:sz w:val="24"/>
          <w:szCs w:val="24"/>
        </w:rPr>
        <w:t xml:space="preserve"> </w:t>
      </w:r>
    </w:p>
  </w:footnote>
  <w:footnote w:id="13">
    <w:p w14:paraId="5FE262D0" w14:textId="77777777" w:rsidR="008E7866" w:rsidRPr="00FD6063" w:rsidRDefault="008E7866" w:rsidP="009C7055">
      <w:pPr>
        <w:autoSpaceDE w:val="0"/>
        <w:autoSpaceDN w:val="0"/>
        <w:adjustRightInd w:val="0"/>
        <w:spacing w:after="0"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(http://www.trabajo.gob.ar/inspecciondeltrabajo/</w:t>
      </w:r>
    </w:p>
  </w:footnote>
  <w:footnote w:id="14">
    <w:p w14:paraId="0AF5B1EA" w14:textId="77777777"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déficit de coordinación fue moneda corriente y </w:t>
      </w:r>
      <w:r w:rsidR="009C7055">
        <w:rPr>
          <w:rFonts w:ascii="Times New Roman" w:hAnsi="Times New Roman" w:cs="Times New Roman"/>
          <w:sz w:val="24"/>
          <w:szCs w:val="24"/>
        </w:rPr>
        <w:t>hubo frecuente</w:t>
      </w:r>
      <w:r w:rsidRPr="00FD6063">
        <w:rPr>
          <w:rFonts w:ascii="Times New Roman" w:hAnsi="Times New Roman" w:cs="Times New Roman"/>
          <w:sz w:val="24"/>
          <w:szCs w:val="24"/>
        </w:rPr>
        <w:t xml:space="preserve"> competencia entre </w:t>
      </w:r>
      <w:r>
        <w:rPr>
          <w:rFonts w:ascii="Times New Roman" w:hAnsi="Times New Roman" w:cs="Times New Roman"/>
          <w:sz w:val="24"/>
          <w:szCs w:val="24"/>
        </w:rPr>
        <w:t xml:space="preserve">las </w:t>
      </w:r>
      <w:r w:rsidRPr="00FD6063">
        <w:rPr>
          <w:rFonts w:ascii="Times New Roman" w:hAnsi="Times New Roman" w:cs="Times New Roman"/>
          <w:sz w:val="24"/>
          <w:szCs w:val="24"/>
        </w:rPr>
        <w:t>jurisdicciones</w:t>
      </w:r>
      <w:r>
        <w:rPr>
          <w:rFonts w:ascii="Times New Roman" w:hAnsi="Times New Roman" w:cs="Times New Roman"/>
          <w:sz w:val="24"/>
          <w:szCs w:val="24"/>
        </w:rPr>
        <w:t>.</w:t>
      </w:r>
    </w:p>
  </w:footnote>
  <w:footnote w:id="15">
    <w:p w14:paraId="0EB70426" w14:textId="77777777" w:rsidR="008E7866" w:rsidRPr="00FD6063" w:rsidRDefault="008E7866" w:rsidP="00F81417">
      <w:pPr>
        <w:pStyle w:val="Textonotapie"/>
        <w:rPr>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No sucedió</w:t>
      </w:r>
      <w:r>
        <w:rPr>
          <w:rFonts w:ascii="Times New Roman" w:hAnsi="Times New Roman" w:cs="Times New Roman"/>
          <w:sz w:val="24"/>
          <w:szCs w:val="24"/>
          <w:lang w:val="es-ES"/>
        </w:rPr>
        <w:t xml:space="preserve"> lo mismo en las edades activas: </w:t>
      </w:r>
      <w:r w:rsidRPr="00FD6063">
        <w:rPr>
          <w:rFonts w:ascii="Times New Roman" w:hAnsi="Times New Roman" w:cs="Times New Roman"/>
          <w:sz w:val="24"/>
          <w:szCs w:val="24"/>
          <w:lang w:val="es-ES"/>
        </w:rPr>
        <w:t xml:space="preserve">la desventaja femenina </w:t>
      </w:r>
      <w:r>
        <w:rPr>
          <w:rFonts w:ascii="Times New Roman" w:hAnsi="Times New Roman" w:cs="Times New Roman"/>
          <w:sz w:val="24"/>
          <w:szCs w:val="24"/>
          <w:lang w:val="es-ES"/>
        </w:rPr>
        <w:t>sigue siendo</w:t>
      </w:r>
      <w:r w:rsidRPr="00FD6063">
        <w:rPr>
          <w:rFonts w:ascii="Times New Roman" w:hAnsi="Times New Roman" w:cs="Times New Roman"/>
          <w:sz w:val="24"/>
          <w:szCs w:val="24"/>
          <w:lang w:val="es-ES"/>
        </w:rPr>
        <w:t xml:space="preserve"> notable en calidad del empleo, expectativas y remuneraciones. </w:t>
      </w:r>
      <w:r>
        <w:rPr>
          <w:rFonts w:ascii="Times New Roman" w:hAnsi="Times New Roman" w:cs="Times New Roman"/>
          <w:sz w:val="24"/>
          <w:szCs w:val="24"/>
          <w:lang w:val="es-ES"/>
        </w:rPr>
        <w:t xml:space="preserve">Como contrapartida, </w:t>
      </w:r>
      <w:r w:rsidRPr="00FD6063">
        <w:rPr>
          <w:rFonts w:ascii="Times New Roman" w:hAnsi="Times New Roman" w:cs="Times New Roman"/>
          <w:sz w:val="24"/>
          <w:szCs w:val="24"/>
          <w:lang w:val="es-ES"/>
        </w:rPr>
        <w:t>e</w:t>
      </w:r>
      <w:r>
        <w:rPr>
          <w:rFonts w:ascii="Times New Roman" w:hAnsi="Times New Roman" w:cs="Times New Roman"/>
          <w:sz w:val="24"/>
          <w:szCs w:val="24"/>
          <w:lang w:val="es-ES"/>
        </w:rPr>
        <w:t>ste</w:t>
      </w:r>
      <w:r w:rsidRPr="00FD6063">
        <w:rPr>
          <w:rFonts w:ascii="Times New Roman" w:hAnsi="Times New Roman" w:cs="Times New Roman"/>
          <w:sz w:val="24"/>
          <w:szCs w:val="24"/>
          <w:lang w:val="es-ES"/>
        </w:rPr>
        <w:t xml:space="preserve"> resultado de mayor igualación puede verse como demostración del potencial de las intervenciones institucionales para construir relaciones más igualitarias</w:t>
      </w:r>
      <w:r>
        <w:rPr>
          <w:rFonts w:ascii="Times New Roman" w:hAnsi="Times New Roman" w:cs="Times New Roman"/>
          <w:sz w:val="24"/>
          <w:szCs w:val="24"/>
          <w:lang w:val="es-ES"/>
        </w:rPr>
        <w:t xml:space="preserve"> (contra </w:t>
      </w:r>
      <w:r w:rsidRPr="00FD6063">
        <w:rPr>
          <w:rFonts w:ascii="Times New Roman" w:hAnsi="Times New Roman" w:cs="Times New Roman"/>
          <w:sz w:val="24"/>
          <w:szCs w:val="24"/>
          <w:lang w:val="es-ES"/>
        </w:rPr>
        <w:t>un mercado cada vez me</w:t>
      </w:r>
      <w:r>
        <w:rPr>
          <w:rFonts w:ascii="Times New Roman" w:hAnsi="Times New Roman" w:cs="Times New Roman"/>
          <w:sz w:val="24"/>
          <w:szCs w:val="24"/>
          <w:lang w:val="es-ES"/>
        </w:rPr>
        <w:t>nos capaz de proveer bienestar</w:t>
      </w:r>
      <w:r w:rsidRPr="00FD6063">
        <w:rPr>
          <w:rFonts w:ascii="Times New Roman" w:hAnsi="Times New Roman" w:cs="Times New Roman"/>
          <w:sz w:val="24"/>
          <w:szCs w:val="24"/>
          <w:lang w:val="es-ES"/>
        </w:rPr>
        <w:t xml:space="preserve">). Al respecto, entre muchos otros, </w:t>
      </w:r>
      <w:r>
        <w:rPr>
          <w:rFonts w:ascii="Times New Roman" w:hAnsi="Times New Roman" w:cs="Times New Roman"/>
          <w:sz w:val="24"/>
          <w:szCs w:val="24"/>
          <w:lang w:val="es-ES"/>
        </w:rPr>
        <w:t xml:space="preserve">ver la reflexión macro de </w:t>
      </w:r>
      <w:r w:rsidRPr="00FD6063">
        <w:rPr>
          <w:rFonts w:ascii="Times New Roman" w:hAnsi="Times New Roman" w:cs="Times New Roman"/>
          <w:sz w:val="24"/>
          <w:szCs w:val="24"/>
          <w:lang w:val="es-ES"/>
        </w:rPr>
        <w:t>Esquivel (2017)</w:t>
      </w:r>
      <w:r>
        <w:rPr>
          <w:rFonts w:ascii="Times New Roman" w:hAnsi="Times New Roman" w:cs="Times New Roman"/>
          <w:sz w:val="24"/>
          <w:szCs w:val="24"/>
          <w:lang w:val="es-ES"/>
        </w:rPr>
        <w:t>.</w:t>
      </w:r>
    </w:p>
  </w:footnote>
  <w:footnote w:id="16">
    <w:p w14:paraId="1E26EABE" w14:textId="77777777" w:rsidR="008E7866" w:rsidRPr="009A33E6" w:rsidRDefault="008E7866" w:rsidP="00F81417">
      <w:pPr>
        <w:pStyle w:val="Textonotapie"/>
        <w:rPr>
          <w:rFonts w:ascii="Times New Roman" w:hAnsi="Times New Roman" w:cs="Times New Roman"/>
          <w:sz w:val="24"/>
          <w:szCs w:val="24"/>
          <w:lang w:val="es-ES"/>
        </w:rPr>
      </w:pPr>
      <w:r>
        <w:rPr>
          <w:rStyle w:val="Refdenotaalpie"/>
        </w:rPr>
        <w:footnoteRef/>
      </w:r>
      <w:r>
        <w:t xml:space="preserve"> </w:t>
      </w:r>
      <w:r w:rsidRPr="009A33E6">
        <w:rPr>
          <w:rFonts w:ascii="Times New Roman" w:hAnsi="Times New Roman" w:cs="Times New Roman"/>
          <w:sz w:val="24"/>
          <w:szCs w:val="24"/>
        </w:rPr>
        <w:t xml:space="preserve">Datos propios, elaborados por Sergio Rottenschweiler para la investigación que es fuente de este artículo. </w:t>
      </w:r>
      <w:r w:rsidR="009C7055">
        <w:rPr>
          <w:rFonts w:ascii="Times New Roman" w:hAnsi="Times New Roman" w:cs="Times New Roman"/>
          <w:sz w:val="24"/>
          <w:szCs w:val="24"/>
          <w:lang w:val="es-ES"/>
        </w:rPr>
        <w:t>I</w:t>
      </w:r>
      <w:r w:rsidRPr="009A33E6">
        <w:rPr>
          <w:rFonts w:ascii="Times New Roman" w:hAnsi="Times New Roman" w:cs="Times New Roman"/>
          <w:sz w:val="24"/>
          <w:szCs w:val="24"/>
          <w:lang w:val="es-ES"/>
        </w:rPr>
        <w:t xml:space="preserve">ncluyen Salud Pública y Seguros Sociales de Salud (para trabajadores activos y para adultos mayores). </w:t>
      </w:r>
      <w:r>
        <w:rPr>
          <w:rFonts w:ascii="Times New Roman" w:hAnsi="Times New Roman" w:cs="Times New Roman"/>
          <w:sz w:val="24"/>
          <w:szCs w:val="24"/>
          <w:lang w:val="es-ES"/>
        </w:rPr>
        <w:t>Información</w:t>
      </w:r>
      <w:r w:rsidRPr="009A33E6">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que proporciona idea de magnitud: </w:t>
      </w:r>
      <w:r w:rsidR="009C7055">
        <w:rPr>
          <w:rFonts w:ascii="Times New Roman" w:hAnsi="Times New Roman" w:cs="Times New Roman"/>
          <w:sz w:val="24"/>
          <w:szCs w:val="24"/>
          <w:lang w:val="es-ES"/>
        </w:rPr>
        <w:t xml:space="preserve">el </w:t>
      </w:r>
      <w:r>
        <w:rPr>
          <w:rFonts w:ascii="Times New Roman" w:hAnsi="Times New Roman" w:cs="Times New Roman"/>
          <w:sz w:val="24"/>
          <w:szCs w:val="24"/>
          <w:lang w:val="es-ES"/>
        </w:rPr>
        <w:t>importante crecimiento d</w:t>
      </w:r>
      <w:r w:rsidRPr="009A33E6">
        <w:rPr>
          <w:rFonts w:ascii="Times New Roman" w:hAnsi="Times New Roman" w:cs="Times New Roman"/>
          <w:sz w:val="24"/>
          <w:szCs w:val="24"/>
          <w:lang w:val="es-ES"/>
        </w:rPr>
        <w:t>el PBI punta a punta</w:t>
      </w:r>
      <w:r w:rsidR="009C7055">
        <w:rPr>
          <w:rFonts w:ascii="Times New Roman" w:hAnsi="Times New Roman" w:cs="Times New Roman"/>
          <w:sz w:val="24"/>
          <w:szCs w:val="24"/>
          <w:lang w:val="es-ES"/>
        </w:rPr>
        <w:t xml:space="preserve"> hace que </w:t>
      </w:r>
      <w:r w:rsidRPr="009A33E6">
        <w:rPr>
          <w:rFonts w:ascii="Times New Roman" w:hAnsi="Times New Roman" w:cs="Times New Roman"/>
          <w:sz w:val="24"/>
          <w:szCs w:val="24"/>
          <w:lang w:val="es-ES"/>
        </w:rPr>
        <w:t xml:space="preserve">en términos absolutos el esfuerzo fiscal  </w:t>
      </w:r>
      <w:r w:rsidR="009C7055">
        <w:rPr>
          <w:rFonts w:ascii="Times New Roman" w:hAnsi="Times New Roman" w:cs="Times New Roman"/>
          <w:sz w:val="24"/>
          <w:szCs w:val="24"/>
          <w:lang w:val="es-ES"/>
        </w:rPr>
        <w:t xml:space="preserve">cobre </w:t>
      </w:r>
      <w:r w:rsidRPr="009A33E6">
        <w:rPr>
          <w:rFonts w:ascii="Times New Roman" w:hAnsi="Times New Roman" w:cs="Times New Roman"/>
          <w:sz w:val="24"/>
          <w:szCs w:val="24"/>
          <w:lang w:val="es-ES"/>
        </w:rPr>
        <w:t>mayor importancia.</w:t>
      </w:r>
    </w:p>
  </w:footnote>
  <w:footnote w:id="17">
    <w:p w14:paraId="560832B2" w14:textId="77777777" w:rsidR="0055052B" w:rsidRPr="000022DE" w:rsidRDefault="0055052B" w:rsidP="000022DE">
      <w:pPr>
        <w:pStyle w:val="Textonotapie"/>
        <w:spacing w:line="480" w:lineRule="auto"/>
        <w:rPr>
          <w:rFonts w:ascii="Times New Roman" w:hAnsi="Times New Roman" w:cs="Times New Roman"/>
          <w:sz w:val="24"/>
          <w:szCs w:val="24"/>
        </w:rPr>
      </w:pPr>
      <w:r w:rsidRPr="000022DE">
        <w:rPr>
          <w:rStyle w:val="Refdenotaalpie"/>
          <w:rFonts w:ascii="Times New Roman" w:hAnsi="Times New Roman" w:cs="Times New Roman"/>
          <w:sz w:val="24"/>
          <w:szCs w:val="24"/>
        </w:rPr>
        <w:footnoteRef/>
      </w:r>
      <w:r w:rsidRPr="000022DE">
        <w:rPr>
          <w:rFonts w:ascii="Times New Roman" w:hAnsi="Times New Roman" w:cs="Times New Roman"/>
          <w:sz w:val="24"/>
          <w:szCs w:val="24"/>
        </w:rPr>
        <w:t xml:space="preserve"> Igual que lo dijimos en educación, esa estabilización en 0,65 muestra el menor peso de los beneficios de carácter compensatorio (y no disminución</w:t>
      </w:r>
      <w:r w:rsidR="000022DE">
        <w:rPr>
          <w:rFonts w:ascii="Times New Roman" w:hAnsi="Times New Roman" w:cs="Times New Roman"/>
          <w:sz w:val="24"/>
          <w:szCs w:val="24"/>
        </w:rPr>
        <w:t xml:space="preserve"> total</w:t>
      </w:r>
      <w:r w:rsidRPr="000022DE">
        <w:rPr>
          <w:rFonts w:ascii="Times New Roman" w:hAnsi="Times New Roman" w:cs="Times New Roman"/>
          <w:sz w:val="24"/>
          <w:szCs w:val="24"/>
        </w:rPr>
        <w:t xml:space="preserve">). Por su orientación, al pasar a la AUH, las transferencias son contabilizadas en la función “trabajo”.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2F272" w14:textId="77777777" w:rsidR="00191A99" w:rsidRDefault="00191A9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09C28" w14:textId="77777777" w:rsidR="008E7866" w:rsidRPr="00225BDD" w:rsidRDefault="00225BDD" w:rsidP="00225BDD">
    <w:pPr>
      <w:pStyle w:val="Encabezado"/>
      <w:rPr>
        <w:rFonts w:ascii="Times New Roman" w:hAnsi="Times New Roman" w:cs="Times New Roman"/>
        <w:sz w:val="16"/>
        <w:szCs w:val="16"/>
      </w:rPr>
    </w:pPr>
    <w:r w:rsidRPr="00225BDD">
      <w:rPr>
        <w:rFonts w:ascii="Times New Roman" w:hAnsi="Times New Roman" w:cs="Times New Roman"/>
        <w:sz w:val="16"/>
        <w:szCs w:val="16"/>
      </w:rPr>
      <w:t>Instrumentos, estrategias, apoyo y oposición</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8949" w14:textId="77777777" w:rsidR="00191A99" w:rsidRDefault="00191A9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2FB2"/>
    <w:multiLevelType w:val="hybridMultilevel"/>
    <w:tmpl w:val="7E60899E"/>
    <w:lvl w:ilvl="0" w:tplc="90CEC7E0">
      <w:start w:val="1"/>
      <w:numFmt w:val="lowerRoman"/>
      <w:lvlText w:val="(%1)"/>
      <w:lvlJc w:val="left"/>
      <w:pPr>
        <w:ind w:left="720" w:hanging="72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15:restartNumberingAfterBreak="0">
    <w:nsid w:val="06EE7DE7"/>
    <w:multiLevelType w:val="hybridMultilevel"/>
    <w:tmpl w:val="436AA304"/>
    <w:lvl w:ilvl="0" w:tplc="C822639E">
      <w:start w:val="1"/>
      <w:numFmt w:val="decimal"/>
      <w:lvlText w:val="%1)"/>
      <w:lvlJc w:val="left"/>
      <w:pPr>
        <w:ind w:left="247" w:hanging="360"/>
      </w:pPr>
      <w:rPr>
        <w:rFonts w:hint="default"/>
      </w:rPr>
    </w:lvl>
    <w:lvl w:ilvl="1" w:tplc="2C0A0019" w:tentative="1">
      <w:start w:val="1"/>
      <w:numFmt w:val="lowerLetter"/>
      <w:lvlText w:val="%2."/>
      <w:lvlJc w:val="left"/>
      <w:pPr>
        <w:ind w:left="967" w:hanging="360"/>
      </w:pPr>
    </w:lvl>
    <w:lvl w:ilvl="2" w:tplc="2C0A001B" w:tentative="1">
      <w:start w:val="1"/>
      <w:numFmt w:val="lowerRoman"/>
      <w:lvlText w:val="%3."/>
      <w:lvlJc w:val="right"/>
      <w:pPr>
        <w:ind w:left="1687" w:hanging="180"/>
      </w:pPr>
    </w:lvl>
    <w:lvl w:ilvl="3" w:tplc="2C0A000F" w:tentative="1">
      <w:start w:val="1"/>
      <w:numFmt w:val="decimal"/>
      <w:lvlText w:val="%4."/>
      <w:lvlJc w:val="left"/>
      <w:pPr>
        <w:ind w:left="2407" w:hanging="360"/>
      </w:pPr>
    </w:lvl>
    <w:lvl w:ilvl="4" w:tplc="2C0A0019" w:tentative="1">
      <w:start w:val="1"/>
      <w:numFmt w:val="lowerLetter"/>
      <w:lvlText w:val="%5."/>
      <w:lvlJc w:val="left"/>
      <w:pPr>
        <w:ind w:left="3127" w:hanging="360"/>
      </w:pPr>
    </w:lvl>
    <w:lvl w:ilvl="5" w:tplc="2C0A001B" w:tentative="1">
      <w:start w:val="1"/>
      <w:numFmt w:val="lowerRoman"/>
      <w:lvlText w:val="%6."/>
      <w:lvlJc w:val="right"/>
      <w:pPr>
        <w:ind w:left="3847" w:hanging="180"/>
      </w:pPr>
    </w:lvl>
    <w:lvl w:ilvl="6" w:tplc="2C0A000F" w:tentative="1">
      <w:start w:val="1"/>
      <w:numFmt w:val="decimal"/>
      <w:lvlText w:val="%7."/>
      <w:lvlJc w:val="left"/>
      <w:pPr>
        <w:ind w:left="4567" w:hanging="360"/>
      </w:pPr>
    </w:lvl>
    <w:lvl w:ilvl="7" w:tplc="2C0A0019" w:tentative="1">
      <w:start w:val="1"/>
      <w:numFmt w:val="lowerLetter"/>
      <w:lvlText w:val="%8."/>
      <w:lvlJc w:val="left"/>
      <w:pPr>
        <w:ind w:left="5287" w:hanging="360"/>
      </w:pPr>
    </w:lvl>
    <w:lvl w:ilvl="8" w:tplc="2C0A001B" w:tentative="1">
      <w:start w:val="1"/>
      <w:numFmt w:val="lowerRoman"/>
      <w:lvlText w:val="%9."/>
      <w:lvlJc w:val="right"/>
      <w:pPr>
        <w:ind w:left="6007" w:hanging="180"/>
      </w:pPr>
    </w:lvl>
  </w:abstractNum>
  <w:abstractNum w:abstractNumId="2" w15:restartNumberingAfterBreak="0">
    <w:nsid w:val="2DF308F0"/>
    <w:multiLevelType w:val="hybridMultilevel"/>
    <w:tmpl w:val="11B0FE22"/>
    <w:lvl w:ilvl="0" w:tplc="89E0CBE8">
      <w:start w:val="1"/>
      <w:numFmt w:val="decimal"/>
      <w:lvlText w:val="(%1)"/>
      <w:lvlJc w:val="left"/>
      <w:pPr>
        <w:ind w:left="408" w:hanging="360"/>
      </w:pPr>
      <w:rPr>
        <w:rFonts w:hint="default"/>
      </w:rPr>
    </w:lvl>
    <w:lvl w:ilvl="1" w:tplc="2C0A0019" w:tentative="1">
      <w:start w:val="1"/>
      <w:numFmt w:val="lowerLetter"/>
      <w:lvlText w:val="%2."/>
      <w:lvlJc w:val="left"/>
      <w:pPr>
        <w:ind w:left="1128" w:hanging="360"/>
      </w:pPr>
    </w:lvl>
    <w:lvl w:ilvl="2" w:tplc="2C0A001B" w:tentative="1">
      <w:start w:val="1"/>
      <w:numFmt w:val="lowerRoman"/>
      <w:lvlText w:val="%3."/>
      <w:lvlJc w:val="right"/>
      <w:pPr>
        <w:ind w:left="1848" w:hanging="180"/>
      </w:pPr>
    </w:lvl>
    <w:lvl w:ilvl="3" w:tplc="2C0A000F" w:tentative="1">
      <w:start w:val="1"/>
      <w:numFmt w:val="decimal"/>
      <w:lvlText w:val="%4."/>
      <w:lvlJc w:val="left"/>
      <w:pPr>
        <w:ind w:left="2568" w:hanging="360"/>
      </w:pPr>
    </w:lvl>
    <w:lvl w:ilvl="4" w:tplc="2C0A0019" w:tentative="1">
      <w:start w:val="1"/>
      <w:numFmt w:val="lowerLetter"/>
      <w:lvlText w:val="%5."/>
      <w:lvlJc w:val="left"/>
      <w:pPr>
        <w:ind w:left="3288" w:hanging="360"/>
      </w:pPr>
    </w:lvl>
    <w:lvl w:ilvl="5" w:tplc="2C0A001B" w:tentative="1">
      <w:start w:val="1"/>
      <w:numFmt w:val="lowerRoman"/>
      <w:lvlText w:val="%6."/>
      <w:lvlJc w:val="right"/>
      <w:pPr>
        <w:ind w:left="4008" w:hanging="180"/>
      </w:pPr>
    </w:lvl>
    <w:lvl w:ilvl="6" w:tplc="2C0A000F" w:tentative="1">
      <w:start w:val="1"/>
      <w:numFmt w:val="decimal"/>
      <w:lvlText w:val="%7."/>
      <w:lvlJc w:val="left"/>
      <w:pPr>
        <w:ind w:left="4728" w:hanging="360"/>
      </w:pPr>
    </w:lvl>
    <w:lvl w:ilvl="7" w:tplc="2C0A0019" w:tentative="1">
      <w:start w:val="1"/>
      <w:numFmt w:val="lowerLetter"/>
      <w:lvlText w:val="%8."/>
      <w:lvlJc w:val="left"/>
      <w:pPr>
        <w:ind w:left="5448" w:hanging="360"/>
      </w:pPr>
    </w:lvl>
    <w:lvl w:ilvl="8" w:tplc="2C0A001B" w:tentative="1">
      <w:start w:val="1"/>
      <w:numFmt w:val="lowerRoman"/>
      <w:lvlText w:val="%9."/>
      <w:lvlJc w:val="right"/>
      <w:pPr>
        <w:ind w:left="6168" w:hanging="180"/>
      </w:pPr>
    </w:lvl>
  </w:abstractNum>
  <w:abstractNum w:abstractNumId="3" w15:restartNumberingAfterBreak="0">
    <w:nsid w:val="30277DE7"/>
    <w:multiLevelType w:val="hybridMultilevel"/>
    <w:tmpl w:val="FE34BD4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15:restartNumberingAfterBreak="0">
    <w:nsid w:val="6E811190"/>
    <w:multiLevelType w:val="hybridMultilevel"/>
    <w:tmpl w:val="C59EB474"/>
    <w:lvl w:ilvl="0" w:tplc="65F0FE8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17"/>
    <w:rsid w:val="000022DE"/>
    <w:rsid w:val="00002DC9"/>
    <w:rsid w:val="000052F5"/>
    <w:rsid w:val="00042A8B"/>
    <w:rsid w:val="00056064"/>
    <w:rsid w:val="00071251"/>
    <w:rsid w:val="00092E03"/>
    <w:rsid w:val="000A0BA3"/>
    <w:rsid w:val="000B1765"/>
    <w:rsid w:val="000F5C4B"/>
    <w:rsid w:val="0011175E"/>
    <w:rsid w:val="00115B42"/>
    <w:rsid w:val="00124CB6"/>
    <w:rsid w:val="00132E2B"/>
    <w:rsid w:val="00134FC9"/>
    <w:rsid w:val="001430A2"/>
    <w:rsid w:val="001441F6"/>
    <w:rsid w:val="0014621D"/>
    <w:rsid w:val="00165F9B"/>
    <w:rsid w:val="00166E91"/>
    <w:rsid w:val="001841A2"/>
    <w:rsid w:val="00191A99"/>
    <w:rsid w:val="001945BE"/>
    <w:rsid w:val="001A3D66"/>
    <w:rsid w:val="001B22AF"/>
    <w:rsid w:val="001D4015"/>
    <w:rsid w:val="001E4181"/>
    <w:rsid w:val="00222F0B"/>
    <w:rsid w:val="00225BDD"/>
    <w:rsid w:val="00233D62"/>
    <w:rsid w:val="00247BD2"/>
    <w:rsid w:val="0025469A"/>
    <w:rsid w:val="00256D73"/>
    <w:rsid w:val="00260F26"/>
    <w:rsid w:val="00261D2D"/>
    <w:rsid w:val="00262834"/>
    <w:rsid w:val="002954E2"/>
    <w:rsid w:val="002A6A38"/>
    <w:rsid w:val="002B0C14"/>
    <w:rsid w:val="002D3A0D"/>
    <w:rsid w:val="002E4DC9"/>
    <w:rsid w:val="002E75F3"/>
    <w:rsid w:val="002E7EAD"/>
    <w:rsid w:val="002F610B"/>
    <w:rsid w:val="003006A1"/>
    <w:rsid w:val="0032038F"/>
    <w:rsid w:val="00321EAE"/>
    <w:rsid w:val="00326C2C"/>
    <w:rsid w:val="00331533"/>
    <w:rsid w:val="00364EB8"/>
    <w:rsid w:val="003D5C34"/>
    <w:rsid w:val="003F0792"/>
    <w:rsid w:val="004012B4"/>
    <w:rsid w:val="00414AE9"/>
    <w:rsid w:val="00440CA3"/>
    <w:rsid w:val="0045028B"/>
    <w:rsid w:val="00450DE9"/>
    <w:rsid w:val="00463577"/>
    <w:rsid w:val="0046372A"/>
    <w:rsid w:val="00472918"/>
    <w:rsid w:val="00476D07"/>
    <w:rsid w:val="00492642"/>
    <w:rsid w:val="004C41F2"/>
    <w:rsid w:val="004D1BAE"/>
    <w:rsid w:val="004D272C"/>
    <w:rsid w:val="004E224F"/>
    <w:rsid w:val="004E2F59"/>
    <w:rsid w:val="004E7730"/>
    <w:rsid w:val="005314A1"/>
    <w:rsid w:val="00533365"/>
    <w:rsid w:val="00533811"/>
    <w:rsid w:val="0055052B"/>
    <w:rsid w:val="00550795"/>
    <w:rsid w:val="00576E5A"/>
    <w:rsid w:val="00585883"/>
    <w:rsid w:val="00597F9E"/>
    <w:rsid w:val="005A0F0B"/>
    <w:rsid w:val="005C0BA3"/>
    <w:rsid w:val="005C168F"/>
    <w:rsid w:val="005D1D11"/>
    <w:rsid w:val="005F120E"/>
    <w:rsid w:val="005F6BB8"/>
    <w:rsid w:val="00601D14"/>
    <w:rsid w:val="00604F61"/>
    <w:rsid w:val="00607743"/>
    <w:rsid w:val="00621460"/>
    <w:rsid w:val="006236AA"/>
    <w:rsid w:val="00626DCA"/>
    <w:rsid w:val="006372AB"/>
    <w:rsid w:val="0066687B"/>
    <w:rsid w:val="00683EB5"/>
    <w:rsid w:val="006850A7"/>
    <w:rsid w:val="00694B37"/>
    <w:rsid w:val="00696584"/>
    <w:rsid w:val="006B1F21"/>
    <w:rsid w:val="006C0EA6"/>
    <w:rsid w:val="006C42BE"/>
    <w:rsid w:val="006E1F11"/>
    <w:rsid w:val="00700751"/>
    <w:rsid w:val="0070591D"/>
    <w:rsid w:val="00705DF0"/>
    <w:rsid w:val="00710204"/>
    <w:rsid w:val="007103B5"/>
    <w:rsid w:val="00733040"/>
    <w:rsid w:val="00746C41"/>
    <w:rsid w:val="00786E91"/>
    <w:rsid w:val="007B353C"/>
    <w:rsid w:val="007E6453"/>
    <w:rsid w:val="007E7154"/>
    <w:rsid w:val="007F1574"/>
    <w:rsid w:val="00803AA6"/>
    <w:rsid w:val="00815D3B"/>
    <w:rsid w:val="0082186F"/>
    <w:rsid w:val="00827158"/>
    <w:rsid w:val="008302CA"/>
    <w:rsid w:val="00835595"/>
    <w:rsid w:val="00836FCA"/>
    <w:rsid w:val="00853FB2"/>
    <w:rsid w:val="00865E49"/>
    <w:rsid w:val="00867276"/>
    <w:rsid w:val="008A3E5D"/>
    <w:rsid w:val="008B4850"/>
    <w:rsid w:val="008E4ED3"/>
    <w:rsid w:val="008E7153"/>
    <w:rsid w:val="008E7866"/>
    <w:rsid w:val="008F0770"/>
    <w:rsid w:val="008F60B5"/>
    <w:rsid w:val="00902F04"/>
    <w:rsid w:val="00903A75"/>
    <w:rsid w:val="009064BD"/>
    <w:rsid w:val="0091201B"/>
    <w:rsid w:val="00924C32"/>
    <w:rsid w:val="00945350"/>
    <w:rsid w:val="00954648"/>
    <w:rsid w:val="00975EAF"/>
    <w:rsid w:val="009806D5"/>
    <w:rsid w:val="009A1D0F"/>
    <w:rsid w:val="009A2DB1"/>
    <w:rsid w:val="009A69E0"/>
    <w:rsid w:val="009B0571"/>
    <w:rsid w:val="009B2081"/>
    <w:rsid w:val="009C1BA1"/>
    <w:rsid w:val="009C37F1"/>
    <w:rsid w:val="009C421E"/>
    <w:rsid w:val="009C7055"/>
    <w:rsid w:val="009D325B"/>
    <w:rsid w:val="009D5A25"/>
    <w:rsid w:val="009E54B5"/>
    <w:rsid w:val="009F04E3"/>
    <w:rsid w:val="009F3DB6"/>
    <w:rsid w:val="00A0158E"/>
    <w:rsid w:val="00A0399F"/>
    <w:rsid w:val="00A22ECB"/>
    <w:rsid w:val="00A259C1"/>
    <w:rsid w:val="00A26124"/>
    <w:rsid w:val="00A34457"/>
    <w:rsid w:val="00A3776A"/>
    <w:rsid w:val="00A42519"/>
    <w:rsid w:val="00A44729"/>
    <w:rsid w:val="00A44E84"/>
    <w:rsid w:val="00A57854"/>
    <w:rsid w:val="00A617C8"/>
    <w:rsid w:val="00A619C6"/>
    <w:rsid w:val="00AA081C"/>
    <w:rsid w:val="00AA4950"/>
    <w:rsid w:val="00AB0566"/>
    <w:rsid w:val="00AB1DF8"/>
    <w:rsid w:val="00AB20BB"/>
    <w:rsid w:val="00AC4FBF"/>
    <w:rsid w:val="00AD5BEA"/>
    <w:rsid w:val="00AD67D1"/>
    <w:rsid w:val="00AE2BB8"/>
    <w:rsid w:val="00B17D7A"/>
    <w:rsid w:val="00B24DDD"/>
    <w:rsid w:val="00B52FE5"/>
    <w:rsid w:val="00B54E07"/>
    <w:rsid w:val="00B61D61"/>
    <w:rsid w:val="00B61DB0"/>
    <w:rsid w:val="00B660D6"/>
    <w:rsid w:val="00B77650"/>
    <w:rsid w:val="00B825DD"/>
    <w:rsid w:val="00B958ED"/>
    <w:rsid w:val="00BA2AF3"/>
    <w:rsid w:val="00BA6E6D"/>
    <w:rsid w:val="00C23BED"/>
    <w:rsid w:val="00C2584B"/>
    <w:rsid w:val="00C44938"/>
    <w:rsid w:val="00C5742D"/>
    <w:rsid w:val="00C82834"/>
    <w:rsid w:val="00C8704C"/>
    <w:rsid w:val="00C93A2D"/>
    <w:rsid w:val="00CA0608"/>
    <w:rsid w:val="00CC79C9"/>
    <w:rsid w:val="00CD226B"/>
    <w:rsid w:val="00CD63F0"/>
    <w:rsid w:val="00D00F89"/>
    <w:rsid w:val="00D20EC9"/>
    <w:rsid w:val="00D328EA"/>
    <w:rsid w:val="00D41FE4"/>
    <w:rsid w:val="00D604B2"/>
    <w:rsid w:val="00D65D7E"/>
    <w:rsid w:val="00D710C1"/>
    <w:rsid w:val="00D9119A"/>
    <w:rsid w:val="00D9621C"/>
    <w:rsid w:val="00DC0A67"/>
    <w:rsid w:val="00DC0EA0"/>
    <w:rsid w:val="00DC3C1B"/>
    <w:rsid w:val="00DD09AA"/>
    <w:rsid w:val="00DD516B"/>
    <w:rsid w:val="00DD666F"/>
    <w:rsid w:val="00DE4AE9"/>
    <w:rsid w:val="00DE7AC7"/>
    <w:rsid w:val="00E00219"/>
    <w:rsid w:val="00E06C2A"/>
    <w:rsid w:val="00E22902"/>
    <w:rsid w:val="00E63875"/>
    <w:rsid w:val="00E81384"/>
    <w:rsid w:val="00E836C3"/>
    <w:rsid w:val="00EA1190"/>
    <w:rsid w:val="00EA2FD4"/>
    <w:rsid w:val="00EA3BE8"/>
    <w:rsid w:val="00EA4B08"/>
    <w:rsid w:val="00EB27D2"/>
    <w:rsid w:val="00EB5CC8"/>
    <w:rsid w:val="00EC34FB"/>
    <w:rsid w:val="00ED0F40"/>
    <w:rsid w:val="00ED2813"/>
    <w:rsid w:val="00ED3121"/>
    <w:rsid w:val="00EE284F"/>
    <w:rsid w:val="00EF6F6C"/>
    <w:rsid w:val="00F05573"/>
    <w:rsid w:val="00F12E85"/>
    <w:rsid w:val="00F42290"/>
    <w:rsid w:val="00F81403"/>
    <w:rsid w:val="00F81417"/>
    <w:rsid w:val="00F877C3"/>
    <w:rsid w:val="00F944F0"/>
    <w:rsid w:val="00FA31E3"/>
    <w:rsid w:val="00FC166E"/>
    <w:rsid w:val="00FD6063"/>
    <w:rsid w:val="00FE2D8E"/>
    <w:rsid w:val="00FF577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B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65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CCD0DF9-66D2-4105-9508-44D11ADB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7467</Words>
  <Characters>41072</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2018-11-26T02:04:00Z</dcterms:created>
  <dcterms:modified xsi:type="dcterms:W3CDTF">2018-11-26T02:04:00Z</dcterms:modified>
</cp:coreProperties>
</file>