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442" w:rsidRPr="002715F7" w:rsidRDefault="00907442" w:rsidP="000722FD">
      <w:pPr>
        <w:spacing w:after="0" w:line="240" w:lineRule="auto"/>
        <w:jc w:val="center"/>
        <w:rPr>
          <w:rFonts w:ascii="Times New Roman" w:hAnsi="Times New Roman" w:cs="Times New Roman"/>
          <w:b/>
          <w:sz w:val="24"/>
          <w:szCs w:val="24"/>
          <w:highlight w:val="yellow"/>
          <w:rPrChange w:id="0" w:author="Claudia" w:date="2018-10-30T17:13:00Z">
            <w:rPr>
              <w:rFonts w:ascii="Times New Roman" w:hAnsi="Times New Roman" w:cs="Times New Roman"/>
              <w:b/>
              <w:sz w:val="24"/>
              <w:szCs w:val="24"/>
            </w:rPr>
          </w:rPrChange>
        </w:rPr>
      </w:pPr>
      <w:r w:rsidRPr="002715F7">
        <w:rPr>
          <w:rFonts w:ascii="Times New Roman" w:hAnsi="Times New Roman" w:cs="Times New Roman"/>
          <w:b/>
          <w:sz w:val="24"/>
          <w:szCs w:val="24"/>
          <w:highlight w:val="yellow"/>
          <w:rPrChange w:id="1" w:author="Claudia" w:date="2018-10-30T17:13:00Z">
            <w:rPr>
              <w:rFonts w:ascii="Times New Roman" w:hAnsi="Times New Roman" w:cs="Times New Roman"/>
              <w:b/>
              <w:sz w:val="24"/>
              <w:szCs w:val="24"/>
            </w:rPr>
          </w:rPrChange>
        </w:rPr>
        <w:t>Coaliciones Pro Bienestar</w:t>
      </w:r>
      <w:r w:rsidR="007219A2" w:rsidRPr="002715F7">
        <w:rPr>
          <w:rFonts w:ascii="Times New Roman" w:hAnsi="Times New Roman" w:cs="Times New Roman"/>
          <w:b/>
          <w:sz w:val="24"/>
          <w:szCs w:val="24"/>
          <w:highlight w:val="yellow"/>
          <w:rPrChange w:id="2" w:author="Claudia" w:date="2018-10-30T17:13:00Z">
            <w:rPr>
              <w:rFonts w:ascii="Times New Roman" w:hAnsi="Times New Roman" w:cs="Times New Roman"/>
              <w:b/>
              <w:sz w:val="24"/>
              <w:szCs w:val="24"/>
            </w:rPr>
          </w:rPrChange>
        </w:rPr>
        <w:t xml:space="preserve"> </w:t>
      </w:r>
      <w:r w:rsidRPr="002715F7">
        <w:rPr>
          <w:rFonts w:ascii="Times New Roman" w:hAnsi="Times New Roman" w:cs="Times New Roman"/>
          <w:b/>
          <w:sz w:val="24"/>
          <w:szCs w:val="24"/>
          <w:highlight w:val="yellow"/>
          <w:rPrChange w:id="3" w:author="Claudia" w:date="2018-10-30T17:13:00Z">
            <w:rPr>
              <w:rFonts w:ascii="Times New Roman" w:hAnsi="Times New Roman" w:cs="Times New Roman"/>
              <w:b/>
              <w:sz w:val="24"/>
              <w:szCs w:val="24"/>
            </w:rPr>
          </w:rPrChange>
        </w:rPr>
        <w:t>en</w:t>
      </w:r>
      <w:r w:rsidR="007219A2" w:rsidRPr="002715F7">
        <w:rPr>
          <w:rFonts w:ascii="Times New Roman" w:hAnsi="Times New Roman" w:cs="Times New Roman"/>
          <w:b/>
          <w:sz w:val="24"/>
          <w:szCs w:val="24"/>
          <w:highlight w:val="yellow"/>
          <w:rPrChange w:id="4" w:author="Claudia" w:date="2018-10-30T17:13:00Z">
            <w:rPr>
              <w:rFonts w:ascii="Times New Roman" w:hAnsi="Times New Roman" w:cs="Times New Roman"/>
              <w:b/>
              <w:sz w:val="24"/>
              <w:szCs w:val="24"/>
            </w:rPr>
          </w:rPrChange>
        </w:rPr>
        <w:t xml:space="preserve"> </w:t>
      </w:r>
      <w:r w:rsidRPr="002715F7">
        <w:rPr>
          <w:rFonts w:ascii="Times New Roman" w:hAnsi="Times New Roman" w:cs="Times New Roman"/>
          <w:b/>
          <w:sz w:val="24"/>
          <w:szCs w:val="24"/>
          <w:highlight w:val="yellow"/>
          <w:rPrChange w:id="5" w:author="Claudia" w:date="2018-10-30T17:13:00Z">
            <w:rPr>
              <w:rFonts w:ascii="Times New Roman" w:hAnsi="Times New Roman" w:cs="Times New Roman"/>
              <w:b/>
              <w:sz w:val="24"/>
              <w:szCs w:val="24"/>
            </w:rPr>
          </w:rPrChange>
        </w:rPr>
        <w:t>el</w:t>
      </w:r>
      <w:r w:rsidR="002E5A0D" w:rsidRPr="002715F7">
        <w:rPr>
          <w:rFonts w:ascii="Times New Roman" w:hAnsi="Times New Roman" w:cs="Times New Roman"/>
          <w:b/>
          <w:sz w:val="24"/>
          <w:szCs w:val="24"/>
          <w:highlight w:val="yellow"/>
          <w:rPrChange w:id="6" w:author="Claudia" w:date="2018-10-30T17:13:00Z">
            <w:rPr>
              <w:rFonts w:ascii="Times New Roman" w:hAnsi="Times New Roman" w:cs="Times New Roman"/>
              <w:b/>
              <w:sz w:val="24"/>
              <w:szCs w:val="24"/>
            </w:rPr>
          </w:rPrChange>
        </w:rPr>
        <w:t xml:space="preserve"> MERCOSUR (200</w:t>
      </w:r>
      <w:r w:rsidR="00B635C5" w:rsidRPr="002715F7">
        <w:rPr>
          <w:rFonts w:ascii="Times New Roman" w:hAnsi="Times New Roman" w:cs="Times New Roman"/>
          <w:b/>
          <w:sz w:val="24"/>
          <w:szCs w:val="24"/>
          <w:highlight w:val="yellow"/>
          <w:rPrChange w:id="7" w:author="Claudia" w:date="2018-10-30T17:13:00Z">
            <w:rPr>
              <w:rFonts w:ascii="Times New Roman" w:hAnsi="Times New Roman" w:cs="Times New Roman"/>
              <w:b/>
              <w:sz w:val="24"/>
              <w:szCs w:val="24"/>
            </w:rPr>
          </w:rPrChange>
        </w:rPr>
        <w:t>0</w:t>
      </w:r>
      <w:r w:rsidR="002E5A0D" w:rsidRPr="002715F7">
        <w:rPr>
          <w:rFonts w:ascii="Times New Roman" w:hAnsi="Times New Roman" w:cs="Times New Roman"/>
          <w:b/>
          <w:sz w:val="24"/>
          <w:szCs w:val="24"/>
          <w:highlight w:val="yellow"/>
          <w:rPrChange w:id="8" w:author="Claudia" w:date="2018-10-30T17:13:00Z">
            <w:rPr>
              <w:rFonts w:ascii="Times New Roman" w:hAnsi="Times New Roman" w:cs="Times New Roman"/>
              <w:b/>
              <w:sz w:val="24"/>
              <w:szCs w:val="24"/>
            </w:rPr>
          </w:rPrChange>
        </w:rPr>
        <w:t xml:space="preserve"> – 201</w:t>
      </w:r>
      <w:r w:rsidR="00B635C5" w:rsidRPr="002715F7">
        <w:rPr>
          <w:rFonts w:ascii="Times New Roman" w:hAnsi="Times New Roman" w:cs="Times New Roman"/>
          <w:b/>
          <w:sz w:val="24"/>
          <w:szCs w:val="24"/>
          <w:highlight w:val="yellow"/>
          <w:rPrChange w:id="9" w:author="Claudia" w:date="2018-10-30T17:13:00Z">
            <w:rPr>
              <w:rFonts w:ascii="Times New Roman" w:hAnsi="Times New Roman" w:cs="Times New Roman"/>
              <w:b/>
              <w:sz w:val="24"/>
              <w:szCs w:val="24"/>
            </w:rPr>
          </w:rPrChange>
        </w:rPr>
        <w:t>5</w:t>
      </w:r>
      <w:r w:rsidR="002E5A0D" w:rsidRPr="002715F7">
        <w:rPr>
          <w:rFonts w:ascii="Times New Roman" w:hAnsi="Times New Roman" w:cs="Times New Roman"/>
          <w:b/>
          <w:sz w:val="24"/>
          <w:szCs w:val="24"/>
          <w:highlight w:val="yellow"/>
          <w:rPrChange w:id="10" w:author="Claudia" w:date="2018-10-30T17:13:00Z">
            <w:rPr>
              <w:rFonts w:ascii="Times New Roman" w:hAnsi="Times New Roman" w:cs="Times New Roman"/>
              <w:b/>
              <w:sz w:val="24"/>
              <w:szCs w:val="24"/>
            </w:rPr>
          </w:rPrChange>
        </w:rPr>
        <w:t>)</w:t>
      </w:r>
      <w:r w:rsidRPr="002715F7">
        <w:rPr>
          <w:rFonts w:ascii="Times New Roman" w:hAnsi="Times New Roman" w:cs="Times New Roman"/>
          <w:b/>
          <w:sz w:val="24"/>
          <w:szCs w:val="24"/>
          <w:highlight w:val="yellow"/>
          <w:rPrChange w:id="11" w:author="Claudia" w:date="2018-10-30T17:13:00Z">
            <w:rPr>
              <w:rFonts w:ascii="Times New Roman" w:hAnsi="Times New Roman" w:cs="Times New Roman"/>
              <w:b/>
              <w:sz w:val="24"/>
              <w:szCs w:val="24"/>
            </w:rPr>
          </w:rPrChange>
        </w:rPr>
        <w:t xml:space="preserve">: </w:t>
      </w:r>
    </w:p>
    <w:p w:rsidR="00A76C25" w:rsidRDefault="007B0E37" w:rsidP="000722FD">
      <w:pPr>
        <w:spacing w:after="0" w:line="240" w:lineRule="auto"/>
        <w:jc w:val="center"/>
        <w:rPr>
          <w:rFonts w:ascii="Times New Roman" w:hAnsi="Times New Roman" w:cs="Times New Roman"/>
          <w:b/>
          <w:sz w:val="24"/>
          <w:szCs w:val="24"/>
        </w:rPr>
      </w:pPr>
      <w:r w:rsidRPr="002715F7">
        <w:rPr>
          <w:rFonts w:ascii="Times New Roman" w:hAnsi="Times New Roman" w:cs="Times New Roman"/>
          <w:b/>
          <w:sz w:val="24"/>
          <w:szCs w:val="24"/>
          <w:highlight w:val="yellow"/>
          <w:rPrChange w:id="12" w:author="Claudia" w:date="2018-10-30T17:13:00Z">
            <w:rPr>
              <w:rFonts w:ascii="Times New Roman" w:hAnsi="Times New Roman" w:cs="Times New Roman"/>
              <w:b/>
              <w:sz w:val="24"/>
              <w:szCs w:val="24"/>
            </w:rPr>
          </w:rPrChange>
        </w:rPr>
        <w:t>Aproximaciones</w:t>
      </w:r>
      <w:r w:rsidR="00360DE8" w:rsidRPr="002715F7">
        <w:rPr>
          <w:rFonts w:ascii="Times New Roman" w:hAnsi="Times New Roman" w:cs="Times New Roman"/>
          <w:b/>
          <w:sz w:val="24"/>
          <w:szCs w:val="24"/>
          <w:highlight w:val="yellow"/>
          <w:rPrChange w:id="13" w:author="Claudia" w:date="2018-10-30T17:13:00Z">
            <w:rPr>
              <w:rFonts w:ascii="Times New Roman" w:hAnsi="Times New Roman" w:cs="Times New Roman"/>
              <w:b/>
              <w:sz w:val="24"/>
              <w:szCs w:val="24"/>
            </w:rPr>
          </w:rPrChange>
        </w:rPr>
        <w:t xml:space="preserve"> analíticas en</w:t>
      </w:r>
      <w:r w:rsidR="00907442" w:rsidRPr="002715F7">
        <w:rPr>
          <w:rFonts w:ascii="Times New Roman" w:hAnsi="Times New Roman" w:cs="Times New Roman"/>
          <w:b/>
          <w:sz w:val="24"/>
          <w:szCs w:val="24"/>
          <w:highlight w:val="yellow"/>
          <w:rPrChange w:id="14" w:author="Claudia" w:date="2018-10-30T17:13:00Z">
            <w:rPr>
              <w:rFonts w:ascii="Times New Roman" w:hAnsi="Times New Roman" w:cs="Times New Roman"/>
              <w:b/>
              <w:sz w:val="24"/>
              <w:szCs w:val="24"/>
            </w:rPr>
          </w:rPrChange>
        </w:rPr>
        <w:t xml:space="preserve"> Argentina y Uruguay.</w:t>
      </w:r>
    </w:p>
    <w:p w:rsidR="000722FD" w:rsidRDefault="000722FD" w:rsidP="000722FD">
      <w:pPr>
        <w:spacing w:after="0" w:line="240" w:lineRule="auto"/>
        <w:jc w:val="center"/>
        <w:rPr>
          <w:rFonts w:ascii="Times New Roman" w:hAnsi="Times New Roman" w:cs="Times New Roman"/>
          <w:b/>
          <w:sz w:val="24"/>
          <w:szCs w:val="24"/>
          <w:lang w:val="pt-PT"/>
        </w:rPr>
      </w:pPr>
      <w:r w:rsidRPr="000722FD">
        <w:rPr>
          <w:rFonts w:ascii="Times New Roman" w:hAnsi="Times New Roman" w:cs="Times New Roman"/>
          <w:b/>
          <w:sz w:val="24"/>
          <w:szCs w:val="24"/>
          <w:lang w:val="pt-PT"/>
        </w:rPr>
        <w:t>Coalizões Pró</w:t>
      </w:r>
      <w:r>
        <w:rPr>
          <w:rFonts w:ascii="Times New Roman" w:hAnsi="Times New Roman" w:cs="Times New Roman"/>
          <w:b/>
          <w:sz w:val="24"/>
          <w:szCs w:val="24"/>
          <w:lang w:val="pt-PT"/>
        </w:rPr>
        <w:t xml:space="preserve"> Bem-Estar </w:t>
      </w:r>
      <w:r w:rsidRPr="000722FD">
        <w:rPr>
          <w:rFonts w:ascii="Times New Roman" w:hAnsi="Times New Roman" w:cs="Times New Roman"/>
          <w:b/>
          <w:sz w:val="24"/>
          <w:szCs w:val="24"/>
          <w:lang w:val="pt-PT"/>
        </w:rPr>
        <w:t>no MERCOS</w:t>
      </w:r>
      <w:bookmarkStart w:id="15" w:name="_GoBack"/>
      <w:bookmarkEnd w:id="15"/>
      <w:r w:rsidRPr="000722FD">
        <w:rPr>
          <w:rFonts w:ascii="Times New Roman" w:hAnsi="Times New Roman" w:cs="Times New Roman"/>
          <w:b/>
          <w:sz w:val="24"/>
          <w:szCs w:val="24"/>
          <w:lang w:val="pt-PT"/>
        </w:rPr>
        <w:t>UL</w:t>
      </w:r>
      <w:r>
        <w:rPr>
          <w:rFonts w:ascii="Times New Roman" w:hAnsi="Times New Roman" w:cs="Times New Roman"/>
          <w:b/>
          <w:sz w:val="24"/>
          <w:szCs w:val="24"/>
          <w:lang w:val="pt-PT"/>
        </w:rPr>
        <w:t xml:space="preserve"> (2000-2015)</w:t>
      </w:r>
      <w:r w:rsidRPr="00832B89">
        <w:rPr>
          <w:lang w:val="pt-BR"/>
          <w:rPrChange w:id="16" w:author="Claudia" w:date="2018-10-30T17:03:00Z">
            <w:rPr/>
          </w:rPrChange>
        </w:rPr>
        <w:t xml:space="preserve"> </w:t>
      </w:r>
      <w:r w:rsidRPr="00832B89">
        <w:rPr>
          <w:rFonts w:ascii="Times New Roman" w:hAnsi="Times New Roman" w:cs="Times New Roman"/>
          <w:b/>
          <w:sz w:val="24"/>
          <w:szCs w:val="24"/>
          <w:lang w:val="pt-BR"/>
          <w:rPrChange w:id="17" w:author="Claudia" w:date="2018-10-30T17:03:00Z">
            <w:rPr>
              <w:rFonts w:ascii="Times New Roman" w:hAnsi="Times New Roman" w:cs="Times New Roman"/>
              <w:b/>
              <w:sz w:val="24"/>
              <w:szCs w:val="24"/>
            </w:rPr>
          </w:rPrChange>
        </w:rPr>
        <w:br/>
        <w:t>Abordagens analíticas na Argentina e no Uruguai</w:t>
      </w:r>
    </w:p>
    <w:p w:rsidR="007B0E37" w:rsidRPr="00832B89" w:rsidRDefault="007B0E37" w:rsidP="000722FD">
      <w:pPr>
        <w:spacing w:after="0" w:line="240" w:lineRule="auto"/>
        <w:jc w:val="center"/>
        <w:rPr>
          <w:rFonts w:ascii="Times New Roman" w:hAnsi="Times New Roman" w:cs="Times New Roman"/>
          <w:b/>
          <w:sz w:val="24"/>
          <w:szCs w:val="24"/>
          <w:lang w:val="en-GB"/>
          <w:rPrChange w:id="18" w:author="Claudia" w:date="2018-10-30T17:03:00Z">
            <w:rPr>
              <w:rFonts w:ascii="Times New Roman" w:hAnsi="Times New Roman" w:cs="Times New Roman"/>
              <w:b/>
              <w:sz w:val="24"/>
              <w:szCs w:val="24"/>
            </w:rPr>
          </w:rPrChange>
        </w:rPr>
      </w:pPr>
      <w:r w:rsidRPr="00832B89">
        <w:rPr>
          <w:rFonts w:ascii="Times New Roman" w:hAnsi="Times New Roman" w:cs="Times New Roman"/>
          <w:b/>
          <w:sz w:val="24"/>
          <w:szCs w:val="24"/>
          <w:lang w:val="en-GB"/>
          <w:rPrChange w:id="19" w:author="Claudia" w:date="2018-10-30T17:03:00Z">
            <w:rPr>
              <w:rFonts w:ascii="Times New Roman" w:hAnsi="Times New Roman" w:cs="Times New Roman"/>
              <w:b/>
              <w:sz w:val="24"/>
              <w:szCs w:val="24"/>
            </w:rPr>
          </w:rPrChange>
        </w:rPr>
        <w:t>Pro-Welfare Coalitions in MERCOSUR (2000 – 2015):</w:t>
      </w:r>
    </w:p>
    <w:p w:rsidR="007B0E37" w:rsidRPr="007B0E37" w:rsidRDefault="007B0E37" w:rsidP="000722FD">
      <w:pPr>
        <w:spacing w:after="0" w:line="240" w:lineRule="auto"/>
        <w:jc w:val="center"/>
        <w:rPr>
          <w:rFonts w:ascii="Times New Roman" w:hAnsi="Times New Roman" w:cs="Times New Roman"/>
          <w:b/>
          <w:sz w:val="24"/>
          <w:szCs w:val="24"/>
          <w:lang w:val="en-US"/>
        </w:rPr>
      </w:pPr>
      <w:r w:rsidRPr="00832B89">
        <w:rPr>
          <w:rFonts w:ascii="Times New Roman" w:hAnsi="Times New Roman" w:cs="Times New Roman"/>
          <w:b/>
          <w:sz w:val="24"/>
          <w:szCs w:val="24"/>
          <w:lang w:val="en-GB"/>
          <w:rPrChange w:id="20" w:author="Claudia" w:date="2018-10-30T17:03:00Z">
            <w:rPr>
              <w:rFonts w:ascii="Times New Roman" w:hAnsi="Times New Roman" w:cs="Times New Roman"/>
              <w:b/>
              <w:sz w:val="24"/>
              <w:szCs w:val="24"/>
            </w:rPr>
          </w:rPrChange>
        </w:rPr>
        <w:t>Analytical approaches in Argentina and Uruguay.</w:t>
      </w:r>
    </w:p>
    <w:p w:rsidR="005F7E04" w:rsidRPr="007B0E37" w:rsidRDefault="005F7E04" w:rsidP="000722FD">
      <w:pPr>
        <w:spacing w:after="0" w:line="240" w:lineRule="auto"/>
        <w:jc w:val="center"/>
        <w:rPr>
          <w:rFonts w:ascii="Times New Roman" w:hAnsi="Times New Roman" w:cs="Times New Roman"/>
          <w:b/>
          <w:sz w:val="24"/>
          <w:szCs w:val="24"/>
          <w:lang w:val="en-US"/>
        </w:rPr>
      </w:pPr>
    </w:p>
    <w:p w:rsidR="005F7E04" w:rsidRDefault="005F7E04" w:rsidP="005F7E04">
      <w:pPr>
        <w:jc w:val="both"/>
        <w:rPr>
          <w:rFonts w:ascii="Times New Roman" w:hAnsi="Times New Roman" w:cs="Times New Roman"/>
          <w:b/>
          <w:sz w:val="24"/>
          <w:szCs w:val="24"/>
        </w:rPr>
      </w:pPr>
      <w:r>
        <w:rPr>
          <w:rFonts w:ascii="Times New Roman" w:hAnsi="Times New Roman" w:cs="Times New Roman"/>
          <w:b/>
          <w:sz w:val="24"/>
          <w:szCs w:val="24"/>
        </w:rPr>
        <w:t xml:space="preserve">Resumen </w:t>
      </w:r>
    </w:p>
    <w:p w:rsidR="005F7E04" w:rsidRDefault="005F7E04" w:rsidP="005F7E04">
      <w:pPr>
        <w:spacing w:after="0" w:line="480" w:lineRule="auto"/>
        <w:jc w:val="both"/>
        <w:rPr>
          <w:rFonts w:ascii="Times New Roman" w:hAnsi="Times New Roman" w:cs="Times New Roman"/>
          <w:sz w:val="24"/>
          <w:szCs w:val="24"/>
        </w:rPr>
      </w:pPr>
      <w:r w:rsidRPr="005F7E04">
        <w:rPr>
          <w:rFonts w:ascii="Times New Roman" w:hAnsi="Times New Roman" w:cs="Times New Roman"/>
          <w:sz w:val="24"/>
          <w:szCs w:val="24"/>
        </w:rPr>
        <w:t xml:space="preserve">A principios del presente siglo, varios de los países del bloque regional se vieron sumidos en agudas crisis económica, social o institucional. El impacto de la aplicación del modelo neoliberal en los noventas, dejaría sus marcas profundas expresadas en el incremento de las tasas de pobreza e indigencia, incremento del desempleo abierto y consecuentemente, generando una fuerte inestabilidad institucional. El relevo de las élites gobernantes en el ejercicio del poder político, particularmente en referencia al control del aparato estatal, resultó en cambios significativos. Por otra parte, la protesta y movilización social –protagonizada por los movimientos sociales históricos y nuevos actores sociales– irrumpía en la arena pública, alertando al sistema de partidos y ocupando un lugar relevante a la hora de plantear sus respectivas demandas e iniciativas. El texto que a continuación se presenta, constituye un adelanto de la investigación aún en curso, que toma por objeto de estudio la correlación entre las matrices de bienestar y la formación de nuevas alianzas o coaliciones distributivas en el MERCOSUR y más particularmente en dos de sus Estados Fundadores (Argentina y Uruguay). </w:t>
      </w:r>
    </w:p>
    <w:p w:rsidR="0062595D" w:rsidRDefault="0062595D" w:rsidP="005F7E04">
      <w:pPr>
        <w:spacing w:after="0" w:line="480" w:lineRule="auto"/>
        <w:jc w:val="both"/>
        <w:rPr>
          <w:rFonts w:ascii="Times New Roman" w:hAnsi="Times New Roman" w:cs="Times New Roman"/>
          <w:b/>
          <w:sz w:val="24"/>
          <w:szCs w:val="24"/>
        </w:rPr>
      </w:pPr>
      <w:r w:rsidRPr="0062595D">
        <w:rPr>
          <w:rFonts w:ascii="Times New Roman" w:hAnsi="Times New Roman" w:cs="Times New Roman"/>
          <w:b/>
          <w:sz w:val="24"/>
          <w:szCs w:val="24"/>
        </w:rPr>
        <w:t>Palabras clave: coaliciones, bienestar, MERCOSUR</w:t>
      </w:r>
    </w:p>
    <w:p w:rsidR="00D15582" w:rsidRPr="00BB2CE9" w:rsidRDefault="00D15582" w:rsidP="00D15582">
      <w:pPr>
        <w:spacing w:after="0" w:line="480" w:lineRule="auto"/>
        <w:jc w:val="both"/>
        <w:rPr>
          <w:rFonts w:ascii="Times New Roman" w:hAnsi="Times New Roman" w:cs="Times New Roman"/>
          <w:b/>
          <w:sz w:val="24"/>
          <w:szCs w:val="24"/>
          <w:lang w:val="es-UY"/>
        </w:rPr>
      </w:pPr>
      <w:r w:rsidRPr="00BB2CE9">
        <w:rPr>
          <w:rFonts w:ascii="Times New Roman" w:hAnsi="Times New Roman" w:cs="Times New Roman"/>
          <w:b/>
          <w:sz w:val="24"/>
          <w:szCs w:val="24"/>
          <w:lang w:val="es-UY"/>
        </w:rPr>
        <w:t>Resumo</w:t>
      </w:r>
    </w:p>
    <w:p w:rsidR="007B0E37" w:rsidRDefault="00416E56" w:rsidP="0062595D">
      <w:pPr>
        <w:spacing w:line="480" w:lineRule="auto"/>
        <w:jc w:val="both"/>
        <w:rPr>
          <w:rFonts w:ascii="Times New Roman" w:hAnsi="Times New Roman" w:cs="Times New Roman"/>
          <w:sz w:val="24"/>
          <w:szCs w:val="24"/>
          <w:lang w:val="pt-BR"/>
        </w:rPr>
      </w:pPr>
      <w:r w:rsidRPr="00416E56">
        <w:rPr>
          <w:rFonts w:ascii="Times New Roman" w:hAnsi="Times New Roman" w:cs="Times New Roman"/>
          <w:sz w:val="24"/>
          <w:szCs w:val="24"/>
          <w:lang w:val="pt-BR"/>
        </w:rPr>
        <w:t>No início deste século, vários dos países do bloco regional estavam sumidos em aguda crise </w:t>
      </w:r>
      <w:r w:rsidR="007219A2" w:rsidRPr="00416E56">
        <w:rPr>
          <w:rFonts w:ascii="Times New Roman" w:hAnsi="Times New Roman" w:cs="Times New Roman"/>
          <w:sz w:val="24"/>
          <w:szCs w:val="24"/>
          <w:lang w:val="pt-BR"/>
        </w:rPr>
        <w:t>econômica</w:t>
      </w:r>
      <w:r w:rsidRPr="00416E56">
        <w:rPr>
          <w:rFonts w:ascii="Times New Roman" w:hAnsi="Times New Roman" w:cs="Times New Roman"/>
          <w:sz w:val="24"/>
          <w:szCs w:val="24"/>
          <w:lang w:val="pt-BR"/>
        </w:rPr>
        <w:t xml:space="preserve">, social ou institucional. O impacto da aplicação do modelo neoliberal nos anos noventa, deixaria as suas profundas marcas no aumento das taxas de pobreza e indigência, o aumento do desemprego aberto e, consequentemente, gerando uma forte </w:t>
      </w:r>
      <w:r w:rsidRPr="00416E56">
        <w:rPr>
          <w:rFonts w:ascii="Times New Roman" w:hAnsi="Times New Roman" w:cs="Times New Roman"/>
          <w:sz w:val="24"/>
          <w:szCs w:val="24"/>
          <w:lang w:val="pt-BR"/>
        </w:rPr>
        <w:lastRenderedPageBreak/>
        <w:t xml:space="preserve">instabilidade institucional. A substituição das elites dominantes no exercício do poder político, particularmente em relação ao controle do aparato estatal, resultou em mudanças significativas. Por outro lado, o </w:t>
      </w:r>
      <w:r>
        <w:rPr>
          <w:rFonts w:ascii="Times New Roman" w:hAnsi="Times New Roman" w:cs="Times New Roman"/>
          <w:sz w:val="24"/>
          <w:szCs w:val="24"/>
          <w:lang w:val="pt-BR"/>
        </w:rPr>
        <w:t>protesto e mobilização social —</w:t>
      </w:r>
      <w:r w:rsidRPr="00416E56">
        <w:rPr>
          <w:rFonts w:ascii="Times New Roman" w:hAnsi="Times New Roman" w:cs="Times New Roman"/>
          <w:sz w:val="24"/>
          <w:szCs w:val="24"/>
          <w:lang w:val="pt-BR"/>
        </w:rPr>
        <w:t>protagonizados por movimentos sociais históricos e novos atores sociais— invadiram a arena pública, chamando a atenção do sistema partidário no momento de submeter as suas respectivas demandas e iniciativas. O texto a seguir é um avanço da investigação ainda em andamento, que tem como objeto de estudo a correlação entre matrizes de bem-estar social e a formação de novas alianças ou coalizões distributivas no MERCOSUL, e mais particularmente em dois dos seus Estados fundadores (Argentina e Uruguai).</w:t>
      </w:r>
      <w:r w:rsidR="00254231">
        <w:rPr>
          <w:rFonts w:ascii="Times New Roman" w:hAnsi="Times New Roman" w:cs="Times New Roman"/>
          <w:sz w:val="24"/>
          <w:szCs w:val="24"/>
          <w:lang w:val="pt-BR"/>
        </w:rPr>
        <w:t xml:space="preserve"> </w:t>
      </w:r>
    </w:p>
    <w:p w:rsidR="0062595D" w:rsidRPr="0062595D" w:rsidRDefault="0062595D" w:rsidP="0062595D">
      <w:pPr>
        <w:spacing w:line="480" w:lineRule="auto"/>
        <w:jc w:val="both"/>
        <w:rPr>
          <w:rFonts w:ascii="Times New Roman" w:hAnsi="Times New Roman" w:cs="Times New Roman"/>
          <w:b/>
          <w:sz w:val="24"/>
          <w:szCs w:val="24"/>
          <w:lang w:val="pt-BR"/>
        </w:rPr>
      </w:pPr>
      <w:r w:rsidRPr="0062595D">
        <w:rPr>
          <w:rFonts w:ascii="Times New Roman" w:hAnsi="Times New Roman" w:cs="Times New Roman"/>
          <w:b/>
          <w:sz w:val="24"/>
          <w:szCs w:val="24"/>
          <w:lang w:val="pt-PT"/>
        </w:rPr>
        <w:t>Palavras chave: coalizões</w:t>
      </w:r>
      <w:r>
        <w:rPr>
          <w:rFonts w:ascii="Times New Roman" w:hAnsi="Times New Roman" w:cs="Times New Roman"/>
          <w:b/>
          <w:sz w:val="24"/>
          <w:szCs w:val="24"/>
          <w:lang w:val="pt-PT"/>
        </w:rPr>
        <w:t xml:space="preserve">, </w:t>
      </w:r>
      <w:r w:rsidRPr="0062595D">
        <w:rPr>
          <w:rFonts w:ascii="Times New Roman" w:hAnsi="Times New Roman" w:cs="Times New Roman"/>
          <w:b/>
          <w:sz w:val="24"/>
          <w:szCs w:val="24"/>
          <w:lang w:val="pt-PT"/>
        </w:rPr>
        <w:t>bem-estar</w:t>
      </w:r>
      <w:r>
        <w:rPr>
          <w:rFonts w:ascii="Times New Roman" w:hAnsi="Times New Roman" w:cs="Times New Roman"/>
          <w:b/>
          <w:sz w:val="24"/>
          <w:szCs w:val="24"/>
          <w:lang w:val="pt-PT"/>
        </w:rPr>
        <w:t xml:space="preserve">, </w:t>
      </w:r>
      <w:r w:rsidRPr="0062595D">
        <w:rPr>
          <w:rFonts w:ascii="Times New Roman" w:hAnsi="Times New Roman" w:cs="Times New Roman"/>
          <w:b/>
          <w:sz w:val="24"/>
          <w:szCs w:val="24"/>
          <w:lang w:val="pt-PT"/>
        </w:rPr>
        <w:t>MERCOSUL</w:t>
      </w:r>
    </w:p>
    <w:p w:rsidR="00254231" w:rsidRDefault="0062595D" w:rsidP="00254231">
      <w:pPr>
        <w:spacing w:line="240" w:lineRule="auto"/>
        <w:jc w:val="both"/>
        <w:rPr>
          <w:rFonts w:ascii="Times New Roman" w:hAnsi="Times New Roman" w:cs="Times New Roman"/>
          <w:b/>
          <w:sz w:val="24"/>
          <w:szCs w:val="24"/>
          <w:lang w:val="en-GB"/>
        </w:rPr>
      </w:pPr>
      <w:r w:rsidRPr="0062595D">
        <w:rPr>
          <w:rFonts w:ascii="Times New Roman" w:hAnsi="Times New Roman" w:cs="Times New Roman"/>
          <w:b/>
          <w:sz w:val="24"/>
          <w:szCs w:val="24"/>
          <w:lang w:val="en-GB"/>
        </w:rPr>
        <w:t>Abstract</w:t>
      </w:r>
    </w:p>
    <w:p w:rsidR="007B0E37" w:rsidRDefault="007B0E37" w:rsidP="00254231">
      <w:pPr>
        <w:spacing w:line="240" w:lineRule="auto"/>
        <w:jc w:val="both"/>
        <w:rPr>
          <w:rFonts w:ascii="Times New Roman" w:hAnsi="Times New Roman" w:cs="Times New Roman"/>
          <w:b/>
          <w:sz w:val="24"/>
          <w:szCs w:val="24"/>
          <w:lang w:val="en-GB"/>
        </w:rPr>
      </w:pPr>
    </w:p>
    <w:p w:rsidR="007B0E37" w:rsidRDefault="0062595D" w:rsidP="00254231">
      <w:pPr>
        <w:spacing w:after="0" w:line="480" w:lineRule="auto"/>
        <w:jc w:val="both"/>
        <w:rPr>
          <w:rFonts w:ascii="Times New Roman" w:hAnsi="Times New Roman" w:cs="Times New Roman"/>
          <w:sz w:val="24"/>
          <w:szCs w:val="24"/>
          <w:lang w:val="en-US"/>
        </w:rPr>
      </w:pPr>
      <w:r w:rsidRPr="00056247">
        <w:rPr>
          <w:rFonts w:ascii="Times New Roman" w:hAnsi="Times New Roman" w:cs="Times New Roman"/>
          <w:sz w:val="24"/>
          <w:szCs w:val="24"/>
          <w:lang w:val="en-US"/>
        </w:rPr>
        <w:t xml:space="preserve">At the beginning of this century, several </w:t>
      </w:r>
      <w:r w:rsidR="004F5103">
        <w:rPr>
          <w:rFonts w:ascii="Times New Roman" w:hAnsi="Times New Roman" w:cs="Times New Roman"/>
          <w:sz w:val="24"/>
          <w:szCs w:val="24"/>
          <w:lang w:val="en-US"/>
        </w:rPr>
        <w:t xml:space="preserve">countries </w:t>
      </w:r>
      <w:r w:rsidRPr="00056247">
        <w:rPr>
          <w:rFonts w:ascii="Times New Roman" w:hAnsi="Times New Roman" w:cs="Times New Roman"/>
          <w:sz w:val="24"/>
          <w:szCs w:val="24"/>
          <w:lang w:val="en-US"/>
        </w:rPr>
        <w:t xml:space="preserve">of the </w:t>
      </w:r>
      <w:r w:rsidR="004F5103">
        <w:rPr>
          <w:rFonts w:ascii="Times New Roman" w:hAnsi="Times New Roman" w:cs="Times New Roman"/>
          <w:sz w:val="24"/>
          <w:szCs w:val="24"/>
          <w:lang w:val="en-US"/>
        </w:rPr>
        <w:t>region suffered</w:t>
      </w:r>
      <w:r w:rsidRPr="00056247">
        <w:rPr>
          <w:rFonts w:ascii="Times New Roman" w:hAnsi="Times New Roman" w:cs="Times New Roman"/>
          <w:sz w:val="24"/>
          <w:szCs w:val="24"/>
          <w:lang w:val="en-US"/>
        </w:rPr>
        <w:t xml:space="preserve"> acute economic, social or institutional crisis.</w:t>
      </w:r>
      <w:r w:rsidR="007B0E37">
        <w:rPr>
          <w:rFonts w:ascii="Times New Roman" w:hAnsi="Times New Roman" w:cs="Times New Roman"/>
          <w:sz w:val="24"/>
          <w:szCs w:val="24"/>
          <w:lang w:val="en-US"/>
        </w:rPr>
        <w:t xml:space="preserve"> </w:t>
      </w:r>
      <w:r w:rsidRPr="00056247">
        <w:rPr>
          <w:rFonts w:ascii="Times New Roman" w:hAnsi="Times New Roman" w:cs="Times New Roman"/>
          <w:sz w:val="24"/>
          <w:szCs w:val="24"/>
          <w:lang w:val="en-US"/>
        </w:rPr>
        <w:t>The</w:t>
      </w:r>
      <w:r w:rsidR="004F5103">
        <w:rPr>
          <w:rFonts w:ascii="Times New Roman" w:hAnsi="Times New Roman" w:cs="Times New Roman"/>
          <w:sz w:val="24"/>
          <w:szCs w:val="24"/>
          <w:lang w:val="en-US"/>
        </w:rPr>
        <w:t xml:space="preserve"> impact of the</w:t>
      </w:r>
      <w:r w:rsidRPr="00056247">
        <w:rPr>
          <w:rFonts w:ascii="Times New Roman" w:hAnsi="Times New Roman" w:cs="Times New Roman"/>
          <w:sz w:val="24"/>
          <w:szCs w:val="24"/>
          <w:lang w:val="en-US"/>
        </w:rPr>
        <w:t xml:space="preserve"> </w:t>
      </w:r>
      <w:r w:rsidR="000722FD">
        <w:rPr>
          <w:rFonts w:ascii="Times New Roman" w:hAnsi="Times New Roman" w:cs="Times New Roman"/>
          <w:sz w:val="24"/>
          <w:szCs w:val="24"/>
          <w:lang w:val="en-US"/>
        </w:rPr>
        <w:t>neoliberal model</w:t>
      </w:r>
      <w:r w:rsidR="004F5103">
        <w:rPr>
          <w:rFonts w:ascii="Times New Roman" w:hAnsi="Times New Roman" w:cs="Times New Roman"/>
          <w:sz w:val="24"/>
          <w:szCs w:val="24"/>
          <w:lang w:val="en-US"/>
        </w:rPr>
        <w:t xml:space="preserve"> applied during </w:t>
      </w:r>
      <w:r w:rsidR="00DA549F">
        <w:rPr>
          <w:rFonts w:ascii="Times New Roman" w:hAnsi="Times New Roman" w:cs="Times New Roman"/>
          <w:sz w:val="24"/>
          <w:szCs w:val="24"/>
          <w:lang w:val="en-US"/>
        </w:rPr>
        <w:t xml:space="preserve">the nineties </w:t>
      </w:r>
      <w:r w:rsidR="004F5103">
        <w:rPr>
          <w:rFonts w:ascii="Times New Roman" w:hAnsi="Times New Roman" w:cs="Times New Roman"/>
          <w:sz w:val="24"/>
          <w:szCs w:val="24"/>
          <w:lang w:val="en-US"/>
        </w:rPr>
        <w:t>left profound marks expressed by</w:t>
      </w:r>
      <w:r w:rsidRPr="00056247">
        <w:rPr>
          <w:rFonts w:ascii="Times New Roman" w:hAnsi="Times New Roman" w:cs="Times New Roman"/>
          <w:sz w:val="24"/>
          <w:szCs w:val="24"/>
          <w:lang w:val="en-US"/>
        </w:rPr>
        <w:t xml:space="preserve"> increase</w:t>
      </w:r>
      <w:r w:rsidR="004F5103">
        <w:rPr>
          <w:rFonts w:ascii="Times New Roman" w:hAnsi="Times New Roman" w:cs="Times New Roman"/>
          <w:sz w:val="24"/>
          <w:szCs w:val="24"/>
          <w:lang w:val="en-US"/>
        </w:rPr>
        <w:t>d</w:t>
      </w:r>
      <w:r w:rsidRPr="00056247">
        <w:rPr>
          <w:rFonts w:ascii="Times New Roman" w:hAnsi="Times New Roman" w:cs="Times New Roman"/>
          <w:sz w:val="24"/>
          <w:szCs w:val="24"/>
          <w:lang w:val="en-US"/>
        </w:rPr>
        <w:t xml:space="preserve"> poverty and i</w:t>
      </w:r>
      <w:r w:rsidR="00DA549F">
        <w:rPr>
          <w:rFonts w:ascii="Times New Roman" w:hAnsi="Times New Roman" w:cs="Times New Roman"/>
          <w:sz w:val="24"/>
          <w:szCs w:val="24"/>
          <w:lang w:val="en-US"/>
        </w:rPr>
        <w:t>ndigence rates, increased</w:t>
      </w:r>
      <w:r w:rsidRPr="00056247">
        <w:rPr>
          <w:rFonts w:ascii="Times New Roman" w:hAnsi="Times New Roman" w:cs="Times New Roman"/>
          <w:sz w:val="24"/>
          <w:szCs w:val="24"/>
          <w:lang w:val="en-US"/>
        </w:rPr>
        <w:t xml:space="preserve"> unemployment and consequently, generating a strong institutional instability.</w:t>
      </w:r>
      <w:r w:rsidRPr="0062595D">
        <w:rPr>
          <w:rFonts w:ascii="Times New Roman" w:hAnsi="Times New Roman" w:cs="Times New Roman"/>
          <w:sz w:val="24"/>
          <w:szCs w:val="24"/>
          <w:lang w:val="en-GB"/>
        </w:rPr>
        <w:br/>
        <w:t>The replacement of ruling elites in the exercise of political power, particularly in</w:t>
      </w:r>
      <w:r w:rsidR="00DA549F">
        <w:rPr>
          <w:rFonts w:ascii="Times New Roman" w:hAnsi="Times New Roman" w:cs="Times New Roman"/>
          <w:sz w:val="24"/>
          <w:szCs w:val="24"/>
          <w:lang w:val="en-GB"/>
        </w:rPr>
        <w:t xml:space="preserve"> reference to the</w:t>
      </w:r>
      <w:r w:rsidRPr="0062595D">
        <w:rPr>
          <w:rFonts w:ascii="Times New Roman" w:hAnsi="Times New Roman" w:cs="Times New Roman"/>
          <w:sz w:val="24"/>
          <w:szCs w:val="24"/>
          <w:lang w:val="en-GB"/>
        </w:rPr>
        <w:t xml:space="preserve"> state apparatus</w:t>
      </w:r>
      <w:r w:rsidR="00DA549F">
        <w:rPr>
          <w:rFonts w:ascii="Times New Roman" w:hAnsi="Times New Roman" w:cs="Times New Roman"/>
          <w:sz w:val="24"/>
          <w:szCs w:val="24"/>
          <w:lang w:val="en-GB"/>
        </w:rPr>
        <w:t xml:space="preserve"> control, turned out</w:t>
      </w:r>
      <w:r w:rsidRPr="0062595D">
        <w:rPr>
          <w:rFonts w:ascii="Times New Roman" w:hAnsi="Times New Roman" w:cs="Times New Roman"/>
          <w:sz w:val="24"/>
          <w:szCs w:val="24"/>
          <w:lang w:val="en-GB"/>
        </w:rPr>
        <w:t xml:space="preserve"> significant changes.</w:t>
      </w:r>
      <w:r w:rsidR="00DA549F">
        <w:rPr>
          <w:rFonts w:ascii="Times New Roman" w:hAnsi="Times New Roman" w:cs="Times New Roman"/>
          <w:sz w:val="24"/>
          <w:szCs w:val="24"/>
          <w:lang w:val="en-GB"/>
        </w:rPr>
        <w:t xml:space="preserve"> </w:t>
      </w:r>
      <w:r w:rsidR="00DA549F">
        <w:rPr>
          <w:rFonts w:ascii="Times New Roman" w:hAnsi="Times New Roman" w:cs="Times New Roman"/>
          <w:sz w:val="24"/>
          <w:szCs w:val="24"/>
          <w:lang w:val="en-US"/>
        </w:rPr>
        <w:t>Moreover</w:t>
      </w:r>
      <w:r w:rsidRPr="00056247">
        <w:rPr>
          <w:rFonts w:ascii="Times New Roman" w:hAnsi="Times New Roman" w:cs="Times New Roman"/>
          <w:sz w:val="24"/>
          <w:szCs w:val="24"/>
          <w:lang w:val="en-US"/>
        </w:rPr>
        <w:t>, protest and social mobilization-</w:t>
      </w:r>
      <w:proofErr w:type="spellStart"/>
      <w:r w:rsidRPr="00056247">
        <w:rPr>
          <w:rFonts w:ascii="Times New Roman" w:hAnsi="Times New Roman" w:cs="Times New Roman"/>
          <w:sz w:val="24"/>
          <w:szCs w:val="24"/>
          <w:lang w:val="en-US"/>
        </w:rPr>
        <w:t>protagonized</w:t>
      </w:r>
      <w:proofErr w:type="spellEnd"/>
      <w:r w:rsidR="007B0E37">
        <w:rPr>
          <w:rFonts w:ascii="Times New Roman" w:hAnsi="Times New Roman" w:cs="Times New Roman"/>
          <w:sz w:val="24"/>
          <w:szCs w:val="24"/>
          <w:lang w:val="en-US"/>
        </w:rPr>
        <w:t xml:space="preserve"> </w:t>
      </w:r>
      <w:r w:rsidRPr="00056247">
        <w:rPr>
          <w:rFonts w:ascii="Times New Roman" w:hAnsi="Times New Roman" w:cs="Times New Roman"/>
          <w:sz w:val="24"/>
          <w:szCs w:val="24"/>
          <w:lang w:val="en-US"/>
        </w:rPr>
        <w:t>by</w:t>
      </w:r>
      <w:r w:rsidR="007B0E37">
        <w:rPr>
          <w:rFonts w:ascii="Times New Roman" w:hAnsi="Times New Roman" w:cs="Times New Roman"/>
          <w:sz w:val="24"/>
          <w:szCs w:val="24"/>
          <w:lang w:val="en-US"/>
        </w:rPr>
        <w:t xml:space="preserve"> </w:t>
      </w:r>
      <w:r w:rsidRPr="00056247">
        <w:rPr>
          <w:rFonts w:ascii="Times New Roman" w:hAnsi="Times New Roman" w:cs="Times New Roman"/>
          <w:sz w:val="24"/>
          <w:szCs w:val="24"/>
          <w:lang w:val="en-US"/>
        </w:rPr>
        <w:t>historical social movements and new social actors-broke into the public arena, alerting the party system and occupying a relevant place when it came to raising their respective demands and initiatives.</w:t>
      </w:r>
      <w:r w:rsidR="00E5212F">
        <w:rPr>
          <w:rFonts w:ascii="Times New Roman" w:hAnsi="Times New Roman" w:cs="Times New Roman"/>
          <w:sz w:val="24"/>
          <w:szCs w:val="24"/>
          <w:lang w:val="en-US"/>
        </w:rPr>
        <w:t xml:space="preserve"> </w:t>
      </w:r>
      <w:r w:rsidRPr="00056247">
        <w:rPr>
          <w:rFonts w:ascii="Times New Roman" w:hAnsi="Times New Roman" w:cs="Times New Roman"/>
          <w:sz w:val="24"/>
          <w:szCs w:val="24"/>
          <w:lang w:val="en-US"/>
        </w:rPr>
        <w:t>The text t</w:t>
      </w:r>
      <w:r w:rsidR="00B661A1">
        <w:rPr>
          <w:rFonts w:ascii="Times New Roman" w:hAnsi="Times New Roman" w:cs="Times New Roman"/>
          <w:sz w:val="24"/>
          <w:szCs w:val="24"/>
          <w:lang w:val="en-US"/>
        </w:rPr>
        <w:t xml:space="preserve">hat follows is an advance of </w:t>
      </w:r>
      <w:r w:rsidRPr="00056247">
        <w:rPr>
          <w:rFonts w:ascii="Times New Roman" w:hAnsi="Times New Roman" w:cs="Times New Roman"/>
          <w:sz w:val="24"/>
          <w:szCs w:val="24"/>
          <w:lang w:val="en-US"/>
        </w:rPr>
        <w:t>research st</w:t>
      </w:r>
      <w:r w:rsidR="00B661A1">
        <w:rPr>
          <w:rFonts w:ascii="Times New Roman" w:hAnsi="Times New Roman" w:cs="Times New Roman"/>
          <w:sz w:val="24"/>
          <w:szCs w:val="24"/>
          <w:lang w:val="en-US"/>
        </w:rPr>
        <w:t>ill in progress, which takes as</w:t>
      </w:r>
      <w:r w:rsidRPr="00056247">
        <w:rPr>
          <w:rFonts w:ascii="Times New Roman" w:hAnsi="Times New Roman" w:cs="Times New Roman"/>
          <w:sz w:val="24"/>
          <w:szCs w:val="24"/>
          <w:lang w:val="en-US"/>
        </w:rPr>
        <w:t xml:space="preserve"> object of study the correlation b</w:t>
      </w:r>
      <w:r w:rsidR="00B661A1">
        <w:rPr>
          <w:rFonts w:ascii="Times New Roman" w:hAnsi="Times New Roman" w:cs="Times New Roman"/>
          <w:sz w:val="24"/>
          <w:szCs w:val="24"/>
          <w:lang w:val="en-US"/>
        </w:rPr>
        <w:t xml:space="preserve">etween welfare regimes and </w:t>
      </w:r>
      <w:r w:rsidRPr="00056247">
        <w:rPr>
          <w:rFonts w:ascii="Times New Roman" w:hAnsi="Times New Roman" w:cs="Times New Roman"/>
          <w:sz w:val="24"/>
          <w:szCs w:val="24"/>
          <w:lang w:val="en-US"/>
        </w:rPr>
        <w:t>new alliances or distributive coalitions</w:t>
      </w:r>
      <w:r w:rsidR="00B661A1">
        <w:rPr>
          <w:rFonts w:ascii="Times New Roman" w:hAnsi="Times New Roman" w:cs="Times New Roman"/>
          <w:sz w:val="24"/>
          <w:szCs w:val="24"/>
          <w:lang w:val="en-US"/>
        </w:rPr>
        <w:t xml:space="preserve"> constitution</w:t>
      </w:r>
      <w:r w:rsidRPr="00056247">
        <w:rPr>
          <w:rFonts w:ascii="Times New Roman" w:hAnsi="Times New Roman" w:cs="Times New Roman"/>
          <w:sz w:val="24"/>
          <w:szCs w:val="24"/>
          <w:lang w:val="en-US"/>
        </w:rPr>
        <w:t xml:space="preserve"> in the MERCOSUR and</w:t>
      </w:r>
      <w:r w:rsidR="00B661A1">
        <w:rPr>
          <w:rFonts w:ascii="Times New Roman" w:hAnsi="Times New Roman" w:cs="Times New Roman"/>
          <w:sz w:val="24"/>
          <w:szCs w:val="24"/>
          <w:lang w:val="en-US"/>
        </w:rPr>
        <w:t>,</w:t>
      </w:r>
      <w:r w:rsidRPr="00056247">
        <w:rPr>
          <w:rFonts w:ascii="Times New Roman" w:hAnsi="Times New Roman" w:cs="Times New Roman"/>
          <w:sz w:val="24"/>
          <w:szCs w:val="24"/>
          <w:lang w:val="en-US"/>
        </w:rPr>
        <w:t xml:space="preserve"> more particularly</w:t>
      </w:r>
      <w:r w:rsidR="00B661A1">
        <w:rPr>
          <w:rFonts w:ascii="Times New Roman" w:hAnsi="Times New Roman" w:cs="Times New Roman"/>
          <w:sz w:val="24"/>
          <w:szCs w:val="24"/>
          <w:lang w:val="en-US"/>
        </w:rPr>
        <w:t>,</w:t>
      </w:r>
      <w:r w:rsidRPr="00056247">
        <w:rPr>
          <w:rFonts w:ascii="Times New Roman" w:hAnsi="Times New Roman" w:cs="Times New Roman"/>
          <w:sz w:val="24"/>
          <w:szCs w:val="24"/>
          <w:lang w:val="en-US"/>
        </w:rPr>
        <w:t xml:space="preserve"> in two of its Founding States (Argentina and Uruguay)</w:t>
      </w:r>
      <w:r w:rsidR="00254231">
        <w:rPr>
          <w:rFonts w:ascii="Times New Roman" w:hAnsi="Times New Roman" w:cs="Times New Roman"/>
          <w:sz w:val="24"/>
          <w:szCs w:val="24"/>
          <w:lang w:val="en-US"/>
        </w:rPr>
        <w:t xml:space="preserve">. </w:t>
      </w:r>
    </w:p>
    <w:p w:rsidR="0062595D" w:rsidRDefault="0062595D" w:rsidP="00254231">
      <w:pPr>
        <w:spacing w:after="0" w:line="480" w:lineRule="auto"/>
        <w:jc w:val="both"/>
        <w:rPr>
          <w:rFonts w:ascii="Times New Roman" w:hAnsi="Times New Roman" w:cs="Times New Roman"/>
          <w:b/>
          <w:sz w:val="24"/>
          <w:szCs w:val="24"/>
          <w:lang w:val="en-US"/>
        </w:rPr>
      </w:pPr>
      <w:r w:rsidRPr="007B0E37">
        <w:rPr>
          <w:rFonts w:ascii="Times New Roman" w:hAnsi="Times New Roman" w:cs="Times New Roman"/>
          <w:b/>
          <w:sz w:val="24"/>
          <w:szCs w:val="24"/>
          <w:lang w:val="en-US"/>
        </w:rPr>
        <w:t>Key words: alliances, welfare, MERCOSUR</w:t>
      </w:r>
    </w:p>
    <w:p w:rsidR="002E5A0D" w:rsidRPr="00A54538" w:rsidRDefault="002E5A0D" w:rsidP="002E5A0D">
      <w:pPr>
        <w:pStyle w:val="Prrafodelista"/>
        <w:numPr>
          <w:ilvl w:val="0"/>
          <w:numId w:val="1"/>
        </w:numPr>
        <w:spacing w:line="360" w:lineRule="auto"/>
        <w:rPr>
          <w:rFonts w:ascii="Times New Roman" w:hAnsi="Times New Roman" w:cs="Times New Roman"/>
          <w:b/>
          <w:sz w:val="24"/>
          <w:szCs w:val="24"/>
        </w:rPr>
      </w:pPr>
      <w:r w:rsidRPr="00A54538">
        <w:rPr>
          <w:rFonts w:ascii="Times New Roman" w:hAnsi="Times New Roman" w:cs="Times New Roman"/>
          <w:b/>
          <w:sz w:val="24"/>
          <w:szCs w:val="24"/>
        </w:rPr>
        <w:t xml:space="preserve">Introducción </w:t>
      </w:r>
    </w:p>
    <w:p w:rsidR="00B92B37" w:rsidRPr="00B92B37" w:rsidRDefault="002715F7" w:rsidP="00E33FB7">
      <w:pPr>
        <w:suppressAutoHyphens/>
        <w:spacing w:before="28" w:after="0" w:line="480" w:lineRule="auto"/>
        <w:ind w:right="-17"/>
        <w:jc w:val="both"/>
        <w:rPr>
          <w:rFonts w:ascii="Times New Roman" w:eastAsia="Times New Roman" w:hAnsi="Times New Roman" w:cs="Times New Roman"/>
          <w:kern w:val="1"/>
          <w:sz w:val="24"/>
          <w:szCs w:val="24"/>
          <w:lang w:val="es-PY" w:eastAsia="hi-IN" w:bidi="hi-IN"/>
        </w:rPr>
      </w:pPr>
      <w:ins w:id="21" w:author="Claudia" w:date="2018-10-30T17:17:00Z">
        <w:r>
          <w:rPr>
            <w:rFonts w:ascii="Times New Roman" w:eastAsia="Times New Roman" w:hAnsi="Times New Roman" w:cs="Times New Roman"/>
            <w:kern w:val="1"/>
            <w:sz w:val="24"/>
            <w:szCs w:val="24"/>
            <w:lang w:eastAsia="hi-IN" w:bidi="hi-IN"/>
          </w:rPr>
          <w:t>E</w:t>
        </w:r>
        <w:r>
          <w:rPr>
            <w:rFonts w:ascii="Times New Roman" w:eastAsia="Times New Roman" w:hAnsi="Times New Roman" w:cs="Times New Roman"/>
            <w:kern w:val="1"/>
            <w:sz w:val="24"/>
            <w:szCs w:val="24"/>
            <w:lang w:eastAsia="hi-IN" w:bidi="hi-IN"/>
          </w:rPr>
          <w:t>n los primeros años del siglo XXI</w:t>
        </w:r>
        <w:r>
          <w:rPr>
            <w:rFonts w:ascii="Times New Roman" w:eastAsia="Times New Roman" w:hAnsi="Times New Roman" w:cs="Times New Roman"/>
            <w:kern w:val="1"/>
            <w:sz w:val="24"/>
            <w:szCs w:val="24"/>
            <w:lang w:eastAsia="hi-IN" w:bidi="hi-IN"/>
          </w:rPr>
          <w:t>, l</w:t>
        </w:r>
      </w:ins>
      <w:del w:id="22" w:author="Claudia" w:date="2018-10-30T17:17:00Z">
        <w:r w:rsidR="00B92B37" w:rsidRPr="00B92B37" w:rsidDel="002715F7">
          <w:rPr>
            <w:rFonts w:ascii="Times New Roman" w:eastAsia="Times New Roman" w:hAnsi="Times New Roman" w:cs="Times New Roman"/>
            <w:kern w:val="1"/>
            <w:sz w:val="24"/>
            <w:szCs w:val="24"/>
            <w:lang w:eastAsia="hi-IN" w:bidi="hi-IN"/>
          </w:rPr>
          <w:delText>L</w:delText>
        </w:r>
      </w:del>
      <w:r w:rsidR="00B92B37" w:rsidRPr="00B92B37">
        <w:rPr>
          <w:rFonts w:ascii="Times New Roman" w:eastAsia="Times New Roman" w:hAnsi="Times New Roman" w:cs="Times New Roman"/>
          <w:kern w:val="1"/>
          <w:sz w:val="24"/>
          <w:szCs w:val="24"/>
          <w:lang w:eastAsia="hi-IN" w:bidi="hi-IN"/>
        </w:rPr>
        <w:t>a llegada al poder político</w:t>
      </w:r>
      <w:r w:rsidR="001C1D03">
        <w:rPr>
          <w:rFonts w:ascii="Times New Roman" w:eastAsia="Times New Roman" w:hAnsi="Times New Roman" w:cs="Times New Roman"/>
          <w:kern w:val="1"/>
          <w:sz w:val="24"/>
          <w:szCs w:val="24"/>
          <w:lang w:eastAsia="hi-IN" w:bidi="hi-IN"/>
        </w:rPr>
        <w:t xml:space="preserve"> en América Latina</w:t>
      </w:r>
      <w:r w:rsidR="000D30BE">
        <w:rPr>
          <w:rFonts w:ascii="Times New Roman" w:eastAsia="Times New Roman" w:hAnsi="Times New Roman" w:cs="Times New Roman"/>
          <w:kern w:val="1"/>
          <w:sz w:val="24"/>
          <w:szCs w:val="24"/>
          <w:lang w:eastAsia="hi-IN" w:bidi="hi-IN"/>
        </w:rPr>
        <w:t xml:space="preserve"> –</w:t>
      </w:r>
      <w:del w:id="23" w:author="Claudia" w:date="2018-10-30T17:16:00Z">
        <w:r w:rsidR="000D30BE" w:rsidDel="002715F7">
          <w:rPr>
            <w:rFonts w:ascii="Times New Roman" w:eastAsia="Times New Roman" w:hAnsi="Times New Roman" w:cs="Times New Roman"/>
            <w:kern w:val="1"/>
            <w:sz w:val="24"/>
            <w:szCs w:val="24"/>
            <w:lang w:eastAsia="hi-IN" w:bidi="hi-IN"/>
          </w:rPr>
          <w:delText>en los primeros años del siglo XXI</w:delText>
        </w:r>
      </w:del>
      <w:r w:rsidR="000D30BE">
        <w:rPr>
          <w:rFonts w:ascii="Times New Roman" w:eastAsia="Times New Roman" w:hAnsi="Times New Roman" w:cs="Times New Roman"/>
          <w:kern w:val="1"/>
          <w:sz w:val="24"/>
          <w:szCs w:val="24"/>
          <w:lang w:eastAsia="hi-IN" w:bidi="hi-IN"/>
        </w:rPr>
        <w:t xml:space="preserve">– de </w:t>
      </w:r>
      <w:r w:rsidR="00B92B37" w:rsidRPr="00B92B37">
        <w:rPr>
          <w:rFonts w:ascii="Times New Roman" w:eastAsia="Times New Roman" w:hAnsi="Times New Roman" w:cs="Times New Roman"/>
          <w:kern w:val="1"/>
          <w:sz w:val="24"/>
          <w:szCs w:val="24"/>
          <w:lang w:eastAsia="hi-IN" w:bidi="hi-IN"/>
        </w:rPr>
        <w:t>fuerzas o partidos progresistas, de centroizquierda o de izquierda generó un marco de oportunidades y un ambiente propicio para la constitución de alianzas o coaliciones –ya sea</w:t>
      </w:r>
      <w:ins w:id="24" w:author="Claudia" w:date="2018-10-30T17:16:00Z">
        <w:r>
          <w:rPr>
            <w:rFonts w:ascii="Times New Roman" w:eastAsia="Times New Roman" w:hAnsi="Times New Roman" w:cs="Times New Roman"/>
            <w:kern w:val="1"/>
            <w:sz w:val="24"/>
            <w:szCs w:val="24"/>
            <w:lang w:eastAsia="hi-IN" w:bidi="hi-IN"/>
          </w:rPr>
          <w:t>n</w:t>
        </w:r>
      </w:ins>
      <w:r w:rsidR="00B92B37" w:rsidRPr="00B92B37">
        <w:rPr>
          <w:rFonts w:ascii="Times New Roman" w:eastAsia="Times New Roman" w:hAnsi="Times New Roman" w:cs="Times New Roman"/>
          <w:kern w:val="1"/>
          <w:sz w:val="24"/>
          <w:szCs w:val="24"/>
          <w:lang w:eastAsia="hi-IN" w:bidi="hi-IN"/>
        </w:rPr>
        <w:t xml:space="preserve"> explícita</w:t>
      </w:r>
      <w:ins w:id="25" w:author="Claudia" w:date="2018-10-30T17:16:00Z">
        <w:r>
          <w:rPr>
            <w:rFonts w:ascii="Times New Roman" w:eastAsia="Times New Roman" w:hAnsi="Times New Roman" w:cs="Times New Roman"/>
            <w:kern w:val="1"/>
            <w:sz w:val="24"/>
            <w:szCs w:val="24"/>
            <w:lang w:eastAsia="hi-IN" w:bidi="hi-IN"/>
          </w:rPr>
          <w:t>s</w:t>
        </w:r>
      </w:ins>
      <w:r w:rsidR="00B92B37" w:rsidRPr="00B92B37">
        <w:rPr>
          <w:rFonts w:ascii="Times New Roman" w:eastAsia="Times New Roman" w:hAnsi="Times New Roman" w:cs="Times New Roman"/>
          <w:kern w:val="1"/>
          <w:sz w:val="24"/>
          <w:szCs w:val="24"/>
          <w:lang w:eastAsia="hi-IN" w:bidi="hi-IN"/>
        </w:rPr>
        <w:t xml:space="preserve"> o tácita</w:t>
      </w:r>
      <w:ins w:id="26" w:author="Claudia" w:date="2018-10-30T17:16:00Z">
        <w:r>
          <w:rPr>
            <w:rFonts w:ascii="Times New Roman" w:eastAsia="Times New Roman" w:hAnsi="Times New Roman" w:cs="Times New Roman"/>
            <w:kern w:val="1"/>
            <w:sz w:val="24"/>
            <w:szCs w:val="24"/>
            <w:lang w:eastAsia="hi-IN" w:bidi="hi-IN"/>
          </w:rPr>
          <w:t>s</w:t>
        </w:r>
      </w:ins>
      <w:r w:rsidR="00B92B37" w:rsidRPr="00B92B37">
        <w:rPr>
          <w:rFonts w:ascii="Times New Roman" w:eastAsia="Times New Roman" w:hAnsi="Times New Roman" w:cs="Times New Roman"/>
          <w:kern w:val="1"/>
          <w:sz w:val="24"/>
          <w:szCs w:val="24"/>
          <w:lang w:eastAsia="hi-IN" w:bidi="hi-IN"/>
        </w:rPr>
        <w:t>– en torno a un conjunto de reivindicaciones y asuntos que definen la agenda pública. Dichas coaliciones sociopolíticas incluyeron</w:t>
      </w:r>
      <w:ins w:id="27" w:author="Claudia" w:date="2018-10-30T17:17:00Z">
        <w:r>
          <w:rPr>
            <w:rFonts w:ascii="Times New Roman" w:eastAsia="Times New Roman" w:hAnsi="Times New Roman" w:cs="Times New Roman"/>
            <w:kern w:val="1"/>
            <w:sz w:val="24"/>
            <w:szCs w:val="24"/>
            <w:lang w:eastAsia="hi-IN" w:bidi="hi-IN"/>
          </w:rPr>
          <w:t>,</w:t>
        </w:r>
      </w:ins>
      <w:r w:rsidR="00B92B37" w:rsidRPr="00B92B37">
        <w:rPr>
          <w:rFonts w:ascii="Times New Roman" w:eastAsia="Times New Roman" w:hAnsi="Times New Roman" w:cs="Times New Roman"/>
          <w:kern w:val="1"/>
          <w:sz w:val="24"/>
          <w:szCs w:val="24"/>
          <w:lang w:eastAsia="hi-IN" w:bidi="hi-IN"/>
        </w:rPr>
        <w:t xml:space="preserve"> según las peculiaridades de cada país, centrales y movimientos sindicales, gremios de artesanos, organizaciones campesinas, movimientos ecologistas, organizaciones indigenistas, estudiantiles o cooperativistas, entre una gama mucho más diversa y plural que representa precisamente la policromía social. Muchas de estas han conformado un bloque más o menos heterogéneo con los partidos y fuerzas progresistas para sostener las transformaciones registradas en el campo de las políticas públicas. Asimismo, pueden observarse rasgos comunes o relativamente similares –allende las particularidades– en cada país en torno a regímenes de bienestar, sistemas de protección social y políticas sociales que van desde el discurso progresista que coloca el acento en la noción del ciudadano como sujeto titular o portador de derechos, hasta la expansión de dispositivos estatales en el polo no contributivo, que han tenido efectos mitigatorios, reductores y redistributivos, cuya evidencia es abundante. Efectivamente</w:t>
      </w:r>
      <w:ins w:id="28" w:author="Claudia" w:date="2018-10-30T17:18:00Z">
        <w:r>
          <w:rPr>
            <w:rFonts w:ascii="Times New Roman" w:eastAsia="Times New Roman" w:hAnsi="Times New Roman" w:cs="Times New Roman"/>
            <w:kern w:val="1"/>
            <w:sz w:val="24"/>
            <w:szCs w:val="24"/>
            <w:lang w:eastAsia="hi-IN" w:bidi="hi-IN"/>
          </w:rPr>
          <w:t>,</w:t>
        </w:r>
      </w:ins>
      <w:r w:rsidR="00B92B37" w:rsidRPr="00B92B37">
        <w:rPr>
          <w:rFonts w:ascii="Times New Roman" w:eastAsia="Times New Roman" w:hAnsi="Times New Roman" w:cs="Times New Roman"/>
          <w:kern w:val="1"/>
          <w:sz w:val="24"/>
          <w:szCs w:val="24"/>
          <w:lang w:eastAsia="hi-IN" w:bidi="hi-IN"/>
        </w:rPr>
        <w:t xml:space="preserve"> la convergencia hacia un cierto tipo o modelo de abordaje de la cuestión social ha sido plausible</w:t>
      </w:r>
      <w:ins w:id="29" w:author="Claudia" w:date="2018-10-30T17:18:00Z">
        <w:r>
          <w:rPr>
            <w:rFonts w:ascii="Times New Roman" w:eastAsia="Times New Roman" w:hAnsi="Times New Roman" w:cs="Times New Roman"/>
            <w:kern w:val="1"/>
            <w:sz w:val="24"/>
            <w:szCs w:val="24"/>
            <w:lang w:eastAsia="hi-IN" w:bidi="hi-IN"/>
          </w:rPr>
          <w:t>;</w:t>
        </w:r>
      </w:ins>
      <w:del w:id="30" w:author="Claudia" w:date="2018-10-30T17:18:00Z">
        <w:r w:rsidR="00B92B37" w:rsidRPr="00B92B37" w:rsidDel="002715F7">
          <w:rPr>
            <w:rFonts w:ascii="Times New Roman" w:eastAsia="Times New Roman" w:hAnsi="Times New Roman" w:cs="Times New Roman"/>
            <w:kern w:val="1"/>
            <w:sz w:val="24"/>
            <w:szCs w:val="24"/>
            <w:lang w:eastAsia="hi-IN" w:bidi="hi-IN"/>
          </w:rPr>
          <w:delText>,</w:delText>
        </w:r>
      </w:del>
      <w:r w:rsidR="00B92B37" w:rsidRPr="00B92B37">
        <w:rPr>
          <w:rFonts w:ascii="Times New Roman" w:eastAsia="Times New Roman" w:hAnsi="Times New Roman" w:cs="Times New Roman"/>
          <w:kern w:val="1"/>
          <w:sz w:val="24"/>
          <w:szCs w:val="24"/>
          <w:lang w:eastAsia="hi-IN" w:bidi="hi-IN"/>
        </w:rPr>
        <w:t xml:space="preserve"> no obstante, es importante constatar las diferencias en función de las trayectorias institucionales singulares y los formatos asumidos. </w:t>
      </w:r>
      <w:r w:rsidR="00B92B37" w:rsidRPr="00B92B37">
        <w:rPr>
          <w:rFonts w:ascii="Times New Roman" w:eastAsia="Times New Roman" w:hAnsi="Times New Roman" w:cs="Times New Roman"/>
          <w:kern w:val="1"/>
          <w:sz w:val="24"/>
          <w:szCs w:val="24"/>
          <w:lang w:val="es-PY" w:eastAsia="hi-IN" w:bidi="hi-IN"/>
        </w:rPr>
        <w:t>En este sentido</w:t>
      </w:r>
      <w:ins w:id="31" w:author="Claudia" w:date="2018-10-30T17:19:00Z">
        <w:r>
          <w:rPr>
            <w:rFonts w:ascii="Times New Roman" w:eastAsia="Times New Roman" w:hAnsi="Times New Roman" w:cs="Times New Roman"/>
            <w:kern w:val="1"/>
            <w:sz w:val="24"/>
            <w:szCs w:val="24"/>
            <w:lang w:val="es-PY" w:eastAsia="hi-IN" w:bidi="hi-IN"/>
          </w:rPr>
          <w:t>,</w:t>
        </w:r>
      </w:ins>
      <w:r w:rsidR="00B92B37" w:rsidRPr="00B92B37">
        <w:rPr>
          <w:rFonts w:ascii="Times New Roman" w:eastAsia="Times New Roman" w:hAnsi="Times New Roman" w:cs="Times New Roman"/>
          <w:kern w:val="1"/>
          <w:sz w:val="24"/>
          <w:szCs w:val="24"/>
          <w:lang w:val="es-PY" w:eastAsia="hi-IN" w:bidi="hi-IN"/>
        </w:rPr>
        <w:t xml:space="preserve"> las transformaciones registradas en el campo de las políticas sociales en</w:t>
      </w:r>
      <w:r w:rsidR="001C1D03">
        <w:rPr>
          <w:rFonts w:ascii="Times New Roman" w:eastAsia="Times New Roman" w:hAnsi="Times New Roman" w:cs="Times New Roman"/>
          <w:kern w:val="1"/>
          <w:sz w:val="24"/>
          <w:szCs w:val="24"/>
          <w:lang w:val="es-PY" w:eastAsia="hi-IN" w:bidi="hi-IN"/>
        </w:rPr>
        <w:t xml:space="preserve"> la región</w:t>
      </w:r>
      <w:r w:rsidR="00B92B37" w:rsidRPr="00B92B37">
        <w:rPr>
          <w:rFonts w:ascii="Times New Roman" w:eastAsia="Times New Roman" w:hAnsi="Times New Roman" w:cs="Times New Roman"/>
          <w:kern w:val="1"/>
          <w:sz w:val="24"/>
          <w:szCs w:val="24"/>
          <w:lang w:val="es-PY" w:eastAsia="hi-IN" w:bidi="hi-IN"/>
        </w:rPr>
        <w:t xml:space="preserve"> han sido tan significativas que podría afirmarse que </w:t>
      </w:r>
      <w:r w:rsidR="00B27151">
        <w:rPr>
          <w:rFonts w:ascii="Times New Roman" w:eastAsia="Times New Roman" w:hAnsi="Times New Roman" w:cs="Times New Roman"/>
          <w:kern w:val="1"/>
          <w:sz w:val="24"/>
          <w:szCs w:val="24"/>
          <w:lang w:val="es-PY" w:eastAsia="hi-IN" w:bidi="hi-IN"/>
        </w:rPr>
        <w:t>fue</w:t>
      </w:r>
      <w:r w:rsidR="00B92B37" w:rsidRPr="00B92B37">
        <w:rPr>
          <w:rFonts w:ascii="Times New Roman" w:eastAsia="Times New Roman" w:hAnsi="Times New Roman" w:cs="Times New Roman"/>
          <w:kern w:val="1"/>
          <w:sz w:val="24"/>
          <w:szCs w:val="24"/>
          <w:lang w:val="es-PY" w:eastAsia="hi-IN" w:bidi="hi-IN"/>
        </w:rPr>
        <w:t xml:space="preserve"> emergiendo una </w:t>
      </w:r>
      <w:r w:rsidR="00B92B37" w:rsidRPr="00B92B37">
        <w:rPr>
          <w:rFonts w:ascii="Times New Roman" w:eastAsia="Times New Roman" w:hAnsi="Times New Roman" w:cs="Times New Roman"/>
          <w:i/>
          <w:kern w:val="1"/>
          <w:sz w:val="24"/>
          <w:szCs w:val="24"/>
          <w:lang w:val="es-PY" w:eastAsia="hi-IN" w:bidi="hi-IN"/>
        </w:rPr>
        <w:t>nueva matriz de bienestar</w:t>
      </w:r>
      <w:r w:rsidR="00B92B37" w:rsidRPr="00B92B37">
        <w:rPr>
          <w:rFonts w:ascii="Times New Roman" w:eastAsia="Times New Roman" w:hAnsi="Times New Roman" w:cs="Times New Roman"/>
          <w:kern w:val="1"/>
          <w:sz w:val="24"/>
          <w:szCs w:val="24"/>
          <w:lang w:val="es-PY" w:eastAsia="hi-IN" w:bidi="hi-IN"/>
        </w:rPr>
        <w:t xml:space="preserve">. Los múltiples estudios referidos a los regímenes de bienestar en la región </w:t>
      </w:r>
      <w:r w:rsidR="00B92B37" w:rsidRPr="00B92B37">
        <w:rPr>
          <w:rFonts w:ascii="Times New Roman" w:eastAsia="Times New Roman" w:hAnsi="Times New Roman" w:cs="Times New Roman"/>
          <w:kern w:val="1"/>
          <w:sz w:val="24"/>
          <w:szCs w:val="24"/>
          <w:lang w:eastAsia="hi-IN" w:bidi="hi-IN"/>
        </w:rPr>
        <w:t>(</w:t>
      </w:r>
      <w:r w:rsidR="003D232A" w:rsidRPr="00B92B37">
        <w:rPr>
          <w:rFonts w:ascii="Times New Roman" w:eastAsia="Times New Roman" w:hAnsi="Times New Roman" w:cs="Times New Roman"/>
          <w:kern w:val="1"/>
          <w:sz w:val="24"/>
          <w:szCs w:val="24"/>
          <w:lang w:eastAsia="hi-IN" w:bidi="hi-IN"/>
        </w:rPr>
        <w:t>Filgueira</w:t>
      </w:r>
      <w:r w:rsidR="003D232A">
        <w:rPr>
          <w:rFonts w:ascii="Times New Roman" w:eastAsia="Times New Roman" w:hAnsi="Times New Roman" w:cs="Times New Roman"/>
          <w:kern w:val="1"/>
          <w:sz w:val="24"/>
          <w:szCs w:val="24"/>
          <w:lang w:eastAsia="hi-IN" w:bidi="hi-IN"/>
        </w:rPr>
        <w:t>2005</w:t>
      </w:r>
      <w:r w:rsidR="005F360D">
        <w:rPr>
          <w:rFonts w:ascii="Times New Roman" w:eastAsia="Times New Roman" w:hAnsi="Times New Roman" w:cs="Times New Roman"/>
          <w:kern w:val="1"/>
          <w:sz w:val="24"/>
          <w:szCs w:val="24"/>
          <w:lang w:eastAsia="hi-IN" w:bidi="hi-IN"/>
        </w:rPr>
        <w:t>, 2015</w:t>
      </w:r>
      <w:r w:rsidR="00B92B37" w:rsidRPr="00B92B37">
        <w:rPr>
          <w:rFonts w:ascii="Times New Roman" w:eastAsia="Times New Roman" w:hAnsi="Times New Roman" w:cs="Times New Roman"/>
          <w:kern w:val="1"/>
          <w:sz w:val="24"/>
          <w:szCs w:val="24"/>
          <w:lang w:eastAsia="hi-IN" w:bidi="hi-IN"/>
        </w:rPr>
        <w:t xml:space="preserve">; </w:t>
      </w:r>
      <w:proofErr w:type="spellStart"/>
      <w:r w:rsidR="00B92B37" w:rsidRPr="00B92B37">
        <w:rPr>
          <w:rFonts w:ascii="Times New Roman" w:eastAsia="Times New Roman" w:hAnsi="Times New Roman" w:cs="Times New Roman"/>
          <w:kern w:val="1"/>
          <w:sz w:val="24"/>
          <w:szCs w:val="24"/>
          <w:lang w:eastAsia="hi-IN" w:bidi="hi-IN"/>
        </w:rPr>
        <w:t>Filgueira</w:t>
      </w:r>
      <w:proofErr w:type="spellEnd"/>
      <w:r w:rsidR="00B92B37" w:rsidRPr="00B92B37">
        <w:rPr>
          <w:rFonts w:ascii="Times New Roman" w:eastAsia="Times New Roman" w:hAnsi="Times New Roman" w:cs="Times New Roman"/>
          <w:kern w:val="1"/>
          <w:sz w:val="24"/>
          <w:szCs w:val="24"/>
          <w:lang w:eastAsia="hi-IN" w:bidi="hi-IN"/>
        </w:rPr>
        <w:t xml:space="preserve"> y Alegre 2008; Martínez 2008; Barrientos 2012) </w:t>
      </w:r>
      <w:r w:rsidR="00B92B37" w:rsidRPr="00B92B37">
        <w:rPr>
          <w:rFonts w:ascii="Times New Roman" w:eastAsia="Times New Roman" w:hAnsi="Times New Roman" w:cs="Times New Roman"/>
          <w:kern w:val="1"/>
          <w:sz w:val="24"/>
          <w:szCs w:val="24"/>
          <w:lang w:val="es-PY" w:eastAsia="hi-IN" w:bidi="hi-IN"/>
        </w:rPr>
        <w:t xml:space="preserve">aportan algunas conclusiones relevantes en esta dirección. </w:t>
      </w:r>
    </w:p>
    <w:p w:rsidR="00E754F2" w:rsidRDefault="00B92B37" w:rsidP="00C61D1D">
      <w:pPr>
        <w:suppressAutoHyphens/>
        <w:spacing w:before="28" w:after="0" w:line="480" w:lineRule="auto"/>
        <w:ind w:right="-17"/>
        <w:jc w:val="both"/>
        <w:rPr>
          <w:rFonts w:ascii="Times New Roman" w:eastAsia="Times New Roman" w:hAnsi="Times New Roman" w:cs="Times New Roman"/>
          <w:kern w:val="1"/>
          <w:sz w:val="24"/>
          <w:szCs w:val="24"/>
          <w:lang w:val="es-PY" w:eastAsia="hi-IN" w:bidi="hi-IN"/>
        </w:rPr>
      </w:pPr>
      <w:commentRangeStart w:id="32"/>
      <w:r w:rsidRPr="00B92B37">
        <w:rPr>
          <w:rFonts w:ascii="Times New Roman" w:eastAsia="Times New Roman" w:hAnsi="Times New Roman" w:cs="Times New Roman"/>
          <w:kern w:val="1"/>
          <w:sz w:val="24"/>
          <w:szCs w:val="24"/>
          <w:lang w:val="es-PY" w:eastAsia="hi-IN" w:bidi="hi-IN"/>
        </w:rPr>
        <w:t>La participación bajo diferentes modalidades y grados de los actores o movimientos sociales (tanto los de dilatada trayectoria histórica como los de reciente conformación) en la definición de las estrategias y prioridades en materia de políticas sociales</w:t>
      </w:r>
      <w:r w:rsidR="00360DE8">
        <w:rPr>
          <w:rFonts w:ascii="Times New Roman" w:eastAsia="Times New Roman" w:hAnsi="Times New Roman" w:cs="Times New Roman"/>
          <w:kern w:val="1"/>
          <w:sz w:val="24"/>
          <w:szCs w:val="24"/>
          <w:lang w:val="es-PY" w:eastAsia="hi-IN" w:bidi="hi-IN"/>
        </w:rPr>
        <w:t>,</w:t>
      </w:r>
      <w:r w:rsidRPr="00B92B37">
        <w:rPr>
          <w:rFonts w:ascii="Times New Roman" w:eastAsia="Times New Roman" w:hAnsi="Times New Roman" w:cs="Times New Roman"/>
          <w:kern w:val="1"/>
          <w:sz w:val="24"/>
          <w:szCs w:val="24"/>
          <w:lang w:val="es-PY" w:eastAsia="hi-IN" w:bidi="hi-IN"/>
        </w:rPr>
        <w:t xml:space="preserve"> contribuy</w:t>
      </w:r>
      <w:r w:rsidR="00360DE8">
        <w:rPr>
          <w:rFonts w:ascii="Times New Roman" w:eastAsia="Times New Roman" w:hAnsi="Times New Roman" w:cs="Times New Roman"/>
          <w:kern w:val="1"/>
          <w:sz w:val="24"/>
          <w:szCs w:val="24"/>
          <w:lang w:val="es-PY" w:eastAsia="hi-IN" w:bidi="hi-IN"/>
        </w:rPr>
        <w:t>ó</w:t>
      </w:r>
      <w:r w:rsidRPr="00B92B37">
        <w:rPr>
          <w:rFonts w:ascii="Times New Roman" w:eastAsia="Times New Roman" w:hAnsi="Times New Roman" w:cs="Times New Roman"/>
          <w:kern w:val="1"/>
          <w:sz w:val="24"/>
          <w:szCs w:val="24"/>
          <w:lang w:val="es-PY" w:eastAsia="hi-IN" w:bidi="hi-IN"/>
        </w:rPr>
        <w:t xml:space="preserve"> </w:t>
      </w:r>
      <w:r w:rsidR="00360DE8">
        <w:rPr>
          <w:rFonts w:ascii="Times New Roman" w:eastAsia="Times New Roman" w:hAnsi="Times New Roman" w:cs="Times New Roman"/>
          <w:kern w:val="1"/>
          <w:sz w:val="24"/>
          <w:szCs w:val="24"/>
          <w:lang w:val="es-PY" w:eastAsia="hi-IN" w:bidi="hi-IN"/>
        </w:rPr>
        <w:t>a</w:t>
      </w:r>
      <w:r w:rsidRPr="00B92B37">
        <w:rPr>
          <w:rFonts w:ascii="Times New Roman" w:eastAsia="Times New Roman" w:hAnsi="Times New Roman" w:cs="Times New Roman"/>
          <w:kern w:val="1"/>
          <w:sz w:val="24"/>
          <w:szCs w:val="24"/>
          <w:lang w:val="es-PY" w:eastAsia="hi-IN" w:bidi="hi-IN"/>
        </w:rPr>
        <w:t xml:space="preserve"> la reconfiguración de la arquitectura de protección social en la dirección de mayor inclusión social y mejor redistribución de la riqueza</w:t>
      </w:r>
      <w:commentRangeEnd w:id="32"/>
      <w:r w:rsidR="004703A5">
        <w:rPr>
          <w:rStyle w:val="Refdecomentario"/>
          <w:rFonts w:ascii="Times New Roman" w:eastAsia="SimSun" w:hAnsi="Times New Roman" w:cs="Mangal"/>
          <w:kern w:val="1"/>
          <w:lang w:val="es-UY" w:eastAsia="hi-IN" w:bidi="hi-IN"/>
        </w:rPr>
        <w:commentReference w:id="32"/>
      </w:r>
      <w:r w:rsidRPr="00B92B37">
        <w:rPr>
          <w:rFonts w:ascii="Times New Roman" w:eastAsia="Times New Roman" w:hAnsi="Times New Roman" w:cs="Times New Roman"/>
          <w:kern w:val="1"/>
          <w:sz w:val="24"/>
          <w:szCs w:val="24"/>
          <w:lang w:val="es-PY" w:eastAsia="hi-IN" w:bidi="hi-IN"/>
        </w:rPr>
        <w:t xml:space="preserve">. </w:t>
      </w:r>
      <w:r w:rsidR="00A46CE9">
        <w:rPr>
          <w:rFonts w:ascii="Times New Roman" w:eastAsia="Times New Roman" w:hAnsi="Times New Roman" w:cs="Times New Roman"/>
          <w:kern w:val="1"/>
          <w:sz w:val="24"/>
          <w:szCs w:val="24"/>
          <w:lang w:val="es-PY" w:eastAsia="hi-IN" w:bidi="hi-IN"/>
        </w:rPr>
        <w:t xml:space="preserve">En los siguientes capítulos se presentan algunas conclusiones </w:t>
      </w:r>
      <w:r w:rsidR="009E3F1D">
        <w:rPr>
          <w:rFonts w:ascii="Times New Roman" w:eastAsia="Times New Roman" w:hAnsi="Times New Roman" w:cs="Times New Roman"/>
          <w:kern w:val="1"/>
          <w:sz w:val="24"/>
          <w:szCs w:val="24"/>
          <w:lang w:val="es-PY" w:eastAsia="hi-IN" w:bidi="hi-IN"/>
        </w:rPr>
        <w:t xml:space="preserve">preliminares </w:t>
      </w:r>
      <w:r w:rsidR="00A46CE9">
        <w:rPr>
          <w:rFonts w:ascii="Times New Roman" w:eastAsia="Times New Roman" w:hAnsi="Times New Roman" w:cs="Times New Roman"/>
          <w:kern w:val="1"/>
          <w:sz w:val="24"/>
          <w:szCs w:val="24"/>
          <w:lang w:val="es-PY" w:eastAsia="hi-IN" w:bidi="hi-IN"/>
        </w:rPr>
        <w:t xml:space="preserve">de la investigación en curso que considera </w:t>
      </w:r>
      <w:ins w:id="33" w:author="Claudia" w:date="2018-10-30T17:23:00Z">
        <w:r w:rsidR="004703A5">
          <w:rPr>
            <w:rFonts w:ascii="Times New Roman" w:eastAsia="Times New Roman" w:hAnsi="Times New Roman" w:cs="Times New Roman"/>
            <w:kern w:val="1"/>
            <w:sz w:val="24"/>
            <w:szCs w:val="24"/>
            <w:lang w:val="es-PY" w:eastAsia="hi-IN" w:bidi="hi-IN"/>
          </w:rPr>
          <w:t xml:space="preserve">a </w:t>
        </w:r>
      </w:ins>
      <w:r w:rsidR="00A46CE9">
        <w:rPr>
          <w:rFonts w:ascii="Times New Roman" w:eastAsia="Times New Roman" w:hAnsi="Times New Roman" w:cs="Times New Roman"/>
          <w:kern w:val="1"/>
          <w:sz w:val="24"/>
          <w:szCs w:val="24"/>
          <w:lang w:val="es-PY" w:eastAsia="hi-IN" w:bidi="hi-IN"/>
        </w:rPr>
        <w:t>Argentina y Uruguay en contraste con Colombia</w:t>
      </w:r>
      <w:ins w:id="34" w:author="Claudia" w:date="2018-10-30T17:23:00Z">
        <w:r w:rsidR="004703A5">
          <w:rPr>
            <w:rFonts w:ascii="Times New Roman" w:eastAsia="Times New Roman" w:hAnsi="Times New Roman" w:cs="Times New Roman"/>
            <w:kern w:val="1"/>
            <w:sz w:val="24"/>
            <w:szCs w:val="24"/>
            <w:lang w:val="es-PY" w:eastAsia="hi-IN" w:bidi="hi-IN"/>
          </w:rPr>
          <w:t>. N</w:t>
        </w:r>
      </w:ins>
      <w:del w:id="35" w:author="Claudia" w:date="2018-10-30T17:23:00Z">
        <w:r w:rsidR="00A46CE9" w:rsidDel="004703A5">
          <w:rPr>
            <w:rFonts w:ascii="Times New Roman" w:eastAsia="Times New Roman" w:hAnsi="Times New Roman" w:cs="Times New Roman"/>
            <w:kern w:val="1"/>
            <w:sz w:val="24"/>
            <w:szCs w:val="24"/>
            <w:lang w:val="es-PY" w:eastAsia="hi-IN" w:bidi="hi-IN"/>
          </w:rPr>
          <w:delText>, n</w:delText>
        </w:r>
      </w:del>
      <w:r w:rsidR="00A46CE9">
        <w:rPr>
          <w:rFonts w:ascii="Times New Roman" w:eastAsia="Times New Roman" w:hAnsi="Times New Roman" w:cs="Times New Roman"/>
          <w:kern w:val="1"/>
          <w:sz w:val="24"/>
          <w:szCs w:val="24"/>
          <w:lang w:val="es-PY" w:eastAsia="hi-IN" w:bidi="hi-IN"/>
        </w:rPr>
        <w:t xml:space="preserve">o </w:t>
      </w:r>
      <w:r w:rsidR="009B5931">
        <w:rPr>
          <w:rFonts w:ascii="Times New Roman" w:eastAsia="Times New Roman" w:hAnsi="Times New Roman" w:cs="Times New Roman"/>
          <w:kern w:val="1"/>
          <w:sz w:val="24"/>
          <w:szCs w:val="24"/>
          <w:lang w:val="es-PY" w:eastAsia="hi-IN" w:bidi="hi-IN"/>
        </w:rPr>
        <w:t>obstante,</w:t>
      </w:r>
      <w:r w:rsidR="00A46CE9">
        <w:rPr>
          <w:rFonts w:ascii="Times New Roman" w:eastAsia="Times New Roman" w:hAnsi="Times New Roman" w:cs="Times New Roman"/>
          <w:kern w:val="1"/>
          <w:sz w:val="24"/>
          <w:szCs w:val="24"/>
          <w:lang w:val="es-PY" w:eastAsia="hi-IN" w:bidi="hi-IN"/>
        </w:rPr>
        <w:t xml:space="preserve"> en este caso, solo examinamos los dos países que integran el bloque MERCOSUR. </w:t>
      </w:r>
    </w:p>
    <w:p w:rsidR="002E5A0D" w:rsidRPr="00A54538" w:rsidRDefault="002E5A0D" w:rsidP="00E33FB7">
      <w:pPr>
        <w:pStyle w:val="Prrafodelista"/>
        <w:numPr>
          <w:ilvl w:val="0"/>
          <w:numId w:val="1"/>
        </w:numPr>
        <w:spacing w:after="0" w:line="480" w:lineRule="auto"/>
        <w:rPr>
          <w:rFonts w:ascii="Times New Roman" w:hAnsi="Times New Roman" w:cs="Times New Roman"/>
          <w:b/>
          <w:sz w:val="24"/>
          <w:szCs w:val="24"/>
        </w:rPr>
      </w:pPr>
      <w:r w:rsidRPr="00A54538">
        <w:rPr>
          <w:rFonts w:ascii="Times New Roman" w:hAnsi="Times New Roman" w:cs="Times New Roman"/>
          <w:b/>
          <w:sz w:val="24"/>
          <w:szCs w:val="24"/>
        </w:rPr>
        <w:t xml:space="preserve">Encuadre referencial teórico </w:t>
      </w:r>
      <w:r w:rsidR="00053A2D">
        <w:rPr>
          <w:rFonts w:ascii="Times New Roman" w:hAnsi="Times New Roman" w:cs="Times New Roman"/>
          <w:b/>
          <w:sz w:val="24"/>
          <w:szCs w:val="24"/>
        </w:rPr>
        <w:t>y metodología</w:t>
      </w:r>
    </w:p>
    <w:p w:rsidR="00C61D1D" w:rsidRPr="00C61D1D" w:rsidRDefault="00C61D1D" w:rsidP="004E5182">
      <w:pPr>
        <w:suppressAutoHyphens/>
        <w:spacing w:before="238" w:after="0" w:line="480" w:lineRule="auto"/>
        <w:jc w:val="both"/>
        <w:rPr>
          <w:rFonts w:ascii="Times New Roman" w:eastAsia="Times New Roman" w:hAnsi="Times New Roman" w:cs="Times New Roman"/>
          <w:kern w:val="1"/>
          <w:sz w:val="24"/>
          <w:szCs w:val="24"/>
          <w:lang w:eastAsia="hi-IN" w:bidi="hi-IN"/>
        </w:rPr>
      </w:pPr>
      <w:r w:rsidRPr="00C61D1D">
        <w:rPr>
          <w:rFonts w:ascii="Times New Roman" w:eastAsia="Times New Roman" w:hAnsi="Times New Roman" w:cs="Times New Roman"/>
          <w:kern w:val="1"/>
          <w:sz w:val="24"/>
          <w:szCs w:val="24"/>
          <w:lang w:eastAsia="hi-IN" w:bidi="hi-IN"/>
        </w:rPr>
        <w:t>El análisis del vínculo entre matrices de bienestar y coaliciones sociopolíticas en América Latina se apoy</w:t>
      </w:r>
      <w:r w:rsidR="002368B5">
        <w:rPr>
          <w:rFonts w:ascii="Times New Roman" w:eastAsia="Times New Roman" w:hAnsi="Times New Roman" w:cs="Times New Roman"/>
          <w:kern w:val="1"/>
          <w:sz w:val="24"/>
          <w:szCs w:val="24"/>
          <w:lang w:eastAsia="hi-IN" w:bidi="hi-IN"/>
        </w:rPr>
        <w:t>a</w:t>
      </w:r>
      <w:r w:rsidRPr="00C61D1D">
        <w:rPr>
          <w:rFonts w:ascii="Times New Roman" w:eastAsia="Times New Roman" w:hAnsi="Times New Roman" w:cs="Times New Roman"/>
          <w:kern w:val="1"/>
          <w:sz w:val="24"/>
          <w:szCs w:val="24"/>
          <w:lang w:eastAsia="hi-IN" w:bidi="hi-IN"/>
        </w:rPr>
        <w:t xml:space="preserve"> en una metodología comparativa de pocos casos (N pequeña) de tipo cualitativo, realizando el estudio –</w:t>
      </w:r>
      <w:r w:rsidRPr="009B5931">
        <w:rPr>
          <w:rFonts w:ascii="Times New Roman" w:eastAsia="Times New Roman" w:hAnsi="Times New Roman" w:cs="Times New Roman"/>
          <w:kern w:val="1"/>
          <w:sz w:val="24"/>
          <w:szCs w:val="24"/>
          <w:lang w:eastAsia="hi-IN" w:bidi="hi-IN"/>
        </w:rPr>
        <w:t xml:space="preserve">en los </w:t>
      </w:r>
      <w:r w:rsidR="00F12EE0" w:rsidRPr="009B5931">
        <w:rPr>
          <w:rFonts w:ascii="Times New Roman" w:eastAsia="Times New Roman" w:hAnsi="Times New Roman" w:cs="Times New Roman"/>
          <w:kern w:val="1"/>
          <w:sz w:val="24"/>
          <w:szCs w:val="24"/>
          <w:lang w:eastAsia="hi-IN" w:bidi="hi-IN"/>
        </w:rPr>
        <w:t>tres</w:t>
      </w:r>
      <w:r w:rsidRPr="009B5931">
        <w:rPr>
          <w:rFonts w:ascii="Times New Roman" w:eastAsia="Times New Roman" w:hAnsi="Times New Roman" w:cs="Times New Roman"/>
          <w:kern w:val="1"/>
          <w:sz w:val="24"/>
          <w:szCs w:val="24"/>
          <w:lang w:eastAsia="hi-IN" w:bidi="hi-IN"/>
        </w:rPr>
        <w:t xml:space="preserve"> países seleccionados</w:t>
      </w:r>
      <w:r w:rsidRPr="00C61D1D">
        <w:rPr>
          <w:rFonts w:ascii="Times New Roman" w:eastAsia="Times New Roman" w:hAnsi="Times New Roman" w:cs="Times New Roman"/>
          <w:kern w:val="1"/>
          <w:sz w:val="24"/>
          <w:szCs w:val="24"/>
          <w:lang w:eastAsia="hi-IN" w:bidi="hi-IN"/>
        </w:rPr>
        <w:t>–de algunas variables fundamentales desde la perspectiva diacrónica</w:t>
      </w:r>
      <w:ins w:id="36" w:author="Claudia" w:date="2018-10-30T17:23:00Z">
        <w:r w:rsidR="004703A5">
          <w:rPr>
            <w:rFonts w:ascii="Times New Roman" w:eastAsia="Times New Roman" w:hAnsi="Times New Roman" w:cs="Times New Roman"/>
            <w:kern w:val="1"/>
            <w:sz w:val="24"/>
            <w:szCs w:val="24"/>
            <w:lang w:eastAsia="hi-IN" w:bidi="hi-IN"/>
          </w:rPr>
          <w:t>,</w:t>
        </w:r>
      </w:ins>
      <w:r w:rsidRPr="00C61D1D">
        <w:rPr>
          <w:rFonts w:ascii="Times New Roman" w:eastAsia="Times New Roman" w:hAnsi="Times New Roman" w:cs="Times New Roman"/>
          <w:kern w:val="1"/>
          <w:sz w:val="24"/>
          <w:szCs w:val="24"/>
          <w:lang w:eastAsia="hi-IN" w:bidi="hi-IN"/>
        </w:rPr>
        <w:t xml:space="preserve"> considerando el período en que se inicia respectivamente la gestión de gobierno progresista (Argentina desde el 2003</w:t>
      </w:r>
      <w:r w:rsidR="004E5182">
        <w:rPr>
          <w:rFonts w:ascii="Times New Roman" w:eastAsia="Times New Roman" w:hAnsi="Times New Roman" w:cs="Times New Roman"/>
          <w:kern w:val="1"/>
          <w:sz w:val="24"/>
          <w:szCs w:val="24"/>
          <w:lang w:eastAsia="hi-IN" w:bidi="hi-IN"/>
        </w:rPr>
        <w:t xml:space="preserve"> y</w:t>
      </w:r>
      <w:r w:rsidRPr="00C61D1D">
        <w:rPr>
          <w:rFonts w:ascii="Times New Roman" w:eastAsia="Times New Roman" w:hAnsi="Times New Roman" w:cs="Times New Roman"/>
          <w:kern w:val="1"/>
          <w:sz w:val="24"/>
          <w:szCs w:val="24"/>
          <w:lang w:eastAsia="hi-IN" w:bidi="hi-IN"/>
        </w:rPr>
        <w:t xml:space="preserve"> Uruguay desde el 2005), </w:t>
      </w:r>
      <w:r w:rsidR="005B7FD1">
        <w:rPr>
          <w:rFonts w:ascii="Times New Roman" w:eastAsia="Times New Roman" w:hAnsi="Times New Roman" w:cs="Times New Roman"/>
          <w:kern w:val="1"/>
          <w:sz w:val="24"/>
          <w:szCs w:val="24"/>
          <w:lang w:eastAsia="hi-IN" w:bidi="hi-IN"/>
        </w:rPr>
        <w:t>ambos</w:t>
      </w:r>
      <w:r w:rsidRPr="00C61D1D">
        <w:rPr>
          <w:rFonts w:ascii="Times New Roman" w:eastAsia="Times New Roman" w:hAnsi="Times New Roman" w:cs="Times New Roman"/>
          <w:kern w:val="1"/>
          <w:sz w:val="24"/>
          <w:szCs w:val="24"/>
          <w:lang w:eastAsia="hi-IN" w:bidi="hi-IN"/>
        </w:rPr>
        <w:t xml:space="preserve"> hasta el año 2015</w:t>
      </w:r>
      <w:r w:rsidR="009E3F1D">
        <w:rPr>
          <w:rFonts w:ascii="Times New Roman" w:eastAsia="Times New Roman" w:hAnsi="Times New Roman" w:cs="Times New Roman"/>
          <w:kern w:val="1"/>
          <w:sz w:val="24"/>
          <w:szCs w:val="24"/>
          <w:lang w:eastAsia="hi-IN" w:bidi="hi-IN"/>
        </w:rPr>
        <w:t xml:space="preserve">. </w:t>
      </w:r>
      <w:r w:rsidRPr="00C61D1D">
        <w:rPr>
          <w:rFonts w:ascii="Times New Roman" w:eastAsia="Times New Roman" w:hAnsi="Times New Roman" w:cs="Times New Roman"/>
          <w:kern w:val="1"/>
          <w:sz w:val="24"/>
          <w:szCs w:val="24"/>
          <w:lang w:eastAsia="hi-IN" w:bidi="hi-IN"/>
        </w:rPr>
        <w:t xml:space="preserve">De ese modo se dio cuenta de la evolución de los indicadores </w:t>
      </w:r>
      <w:r w:rsidR="00025C34" w:rsidRPr="00C61D1D">
        <w:rPr>
          <w:rFonts w:ascii="Times New Roman" w:eastAsia="Times New Roman" w:hAnsi="Times New Roman" w:cs="Times New Roman"/>
          <w:kern w:val="1"/>
          <w:sz w:val="24"/>
          <w:szCs w:val="24"/>
          <w:lang w:eastAsia="hi-IN" w:bidi="hi-IN"/>
        </w:rPr>
        <w:t>s</w:t>
      </w:r>
      <w:r w:rsidR="00025C34">
        <w:rPr>
          <w:rFonts w:ascii="Times New Roman" w:eastAsia="Times New Roman" w:hAnsi="Times New Roman" w:cs="Times New Roman"/>
          <w:kern w:val="1"/>
          <w:sz w:val="24"/>
          <w:szCs w:val="24"/>
          <w:lang w:eastAsia="hi-IN" w:bidi="hi-IN"/>
        </w:rPr>
        <w:t>ociales más</w:t>
      </w:r>
      <w:r w:rsidRPr="00C61D1D">
        <w:rPr>
          <w:rFonts w:ascii="Times New Roman" w:eastAsia="Times New Roman" w:hAnsi="Times New Roman" w:cs="Times New Roman"/>
          <w:kern w:val="1"/>
          <w:sz w:val="24"/>
          <w:szCs w:val="24"/>
          <w:lang w:eastAsia="hi-IN" w:bidi="hi-IN"/>
        </w:rPr>
        <w:t xml:space="preserve"> significativos en el avance hacia mejores niveles de bienestar de la población. A tales fines se utilizaron fuentes documentales para registrar índices cuantitativos e indicadores cualitativos (institutos de estadística, base de datos de organismos multilaterales)</w:t>
      </w:r>
      <w:ins w:id="37" w:author="Claudia" w:date="2018-10-30T17:24:00Z">
        <w:r w:rsidR="004703A5">
          <w:rPr>
            <w:rFonts w:ascii="Times New Roman" w:eastAsia="Times New Roman" w:hAnsi="Times New Roman" w:cs="Times New Roman"/>
            <w:kern w:val="1"/>
            <w:sz w:val="24"/>
            <w:szCs w:val="24"/>
            <w:lang w:eastAsia="hi-IN" w:bidi="hi-IN"/>
          </w:rPr>
          <w:t>,</w:t>
        </w:r>
      </w:ins>
      <w:r w:rsidRPr="00C61D1D">
        <w:rPr>
          <w:rFonts w:ascii="Times New Roman" w:eastAsia="Times New Roman" w:hAnsi="Times New Roman" w:cs="Times New Roman"/>
          <w:kern w:val="1"/>
          <w:sz w:val="24"/>
          <w:szCs w:val="24"/>
          <w:lang w:eastAsia="hi-IN" w:bidi="hi-IN"/>
        </w:rPr>
        <w:t xml:space="preserve"> bibliografía acumulada con base en investigaciones precedentes y análisis de discursos y declaraciones públicas. </w:t>
      </w:r>
    </w:p>
    <w:p w:rsidR="00C61D1D" w:rsidRPr="00C61D1D" w:rsidRDefault="00C61D1D" w:rsidP="00DE09DC">
      <w:pPr>
        <w:suppressAutoHyphens/>
        <w:spacing w:before="238" w:after="0" w:line="480" w:lineRule="auto"/>
        <w:jc w:val="both"/>
        <w:rPr>
          <w:rFonts w:ascii="Times New Roman" w:eastAsia="Times New Roman" w:hAnsi="Times New Roman" w:cs="Times New Roman"/>
          <w:kern w:val="1"/>
          <w:sz w:val="24"/>
          <w:szCs w:val="24"/>
          <w:lang w:eastAsia="hi-IN" w:bidi="hi-IN"/>
        </w:rPr>
      </w:pPr>
      <w:r w:rsidRPr="00C61D1D">
        <w:rPr>
          <w:rFonts w:ascii="Times New Roman" w:eastAsia="Times New Roman" w:hAnsi="Times New Roman" w:cs="Times New Roman"/>
          <w:kern w:val="1"/>
          <w:sz w:val="24"/>
          <w:szCs w:val="24"/>
          <w:lang w:eastAsia="hi-IN" w:bidi="hi-IN"/>
        </w:rPr>
        <w:t xml:space="preserve">El modelo analítico tiene como referencia el DSMD (diseño de sistemas más diferentes). </w:t>
      </w:r>
    </w:p>
    <w:p w:rsidR="00C61D1D" w:rsidRPr="00C61D1D" w:rsidRDefault="00C61D1D" w:rsidP="00DE09DC">
      <w:pPr>
        <w:suppressAutoHyphens/>
        <w:spacing w:before="238" w:after="0" w:line="480" w:lineRule="auto"/>
        <w:ind w:left="1134" w:right="-1"/>
        <w:jc w:val="both"/>
        <w:rPr>
          <w:rFonts w:ascii="Times New Roman" w:eastAsia="Times New Roman" w:hAnsi="Times New Roman" w:cs="Times New Roman"/>
          <w:iCs/>
          <w:kern w:val="1"/>
          <w:sz w:val="20"/>
          <w:szCs w:val="20"/>
          <w:lang w:val="es-PE" w:eastAsia="hi-IN" w:bidi="hi-IN"/>
        </w:rPr>
      </w:pPr>
      <w:r w:rsidRPr="00C61D1D">
        <w:rPr>
          <w:rFonts w:ascii="Times New Roman" w:eastAsia="Times New Roman" w:hAnsi="Times New Roman" w:cs="Times New Roman"/>
          <w:iCs/>
          <w:kern w:val="1"/>
          <w:sz w:val="20"/>
          <w:szCs w:val="20"/>
          <w:lang w:eastAsia="hi-IN" w:bidi="hi-IN"/>
        </w:rPr>
        <w:t>Para</w:t>
      </w:r>
      <w:r w:rsidRPr="00C61D1D">
        <w:rPr>
          <w:rFonts w:ascii="Times New Roman" w:eastAsia="Times New Roman" w:hAnsi="Times New Roman" w:cs="Times New Roman"/>
          <w:iCs/>
          <w:kern w:val="1"/>
          <w:sz w:val="20"/>
          <w:szCs w:val="20"/>
          <w:lang w:val="es-PE" w:eastAsia="hi-IN" w:bidi="hi-IN"/>
        </w:rPr>
        <w:t xml:space="preserve"> este diseño–basado en el método del acuerdo de </w:t>
      </w:r>
      <w:proofErr w:type="spellStart"/>
      <w:r w:rsidRPr="00C61D1D">
        <w:rPr>
          <w:rFonts w:ascii="Times New Roman" w:eastAsia="Times New Roman" w:hAnsi="Times New Roman" w:cs="Times New Roman"/>
          <w:iCs/>
          <w:kern w:val="1"/>
          <w:sz w:val="20"/>
          <w:szCs w:val="20"/>
          <w:lang w:val="es-PE" w:eastAsia="hi-IN" w:bidi="hi-IN"/>
        </w:rPr>
        <w:t>Mill</w:t>
      </w:r>
      <w:proofErr w:type="spellEnd"/>
      <w:r w:rsidRPr="00C61D1D">
        <w:rPr>
          <w:rFonts w:ascii="Times New Roman" w:eastAsia="Times New Roman" w:hAnsi="Times New Roman" w:cs="Times New Roman"/>
          <w:iCs/>
          <w:kern w:val="1"/>
          <w:sz w:val="20"/>
          <w:szCs w:val="20"/>
          <w:lang w:val="es-PE" w:eastAsia="hi-IN" w:bidi="hi-IN"/>
        </w:rPr>
        <w:t xml:space="preserve">-, en sus términos lógicos, ´lo más importante es que los países </w:t>
      </w:r>
      <w:r w:rsidRPr="00C61D1D">
        <w:rPr>
          <w:rFonts w:ascii="Times New Roman" w:eastAsia="Times New Roman" w:hAnsi="Times New Roman" w:cs="Times New Roman"/>
          <w:iCs/>
          <w:kern w:val="1"/>
          <w:sz w:val="20"/>
          <w:szCs w:val="20"/>
          <w:lang w:val="es-UY" w:eastAsia="hi-IN" w:bidi="hi-IN"/>
        </w:rPr>
        <w:t xml:space="preserve">[sean] </w:t>
      </w:r>
      <w:r w:rsidRPr="00C61D1D">
        <w:rPr>
          <w:rFonts w:ascii="Times New Roman" w:eastAsia="Times New Roman" w:hAnsi="Times New Roman" w:cs="Times New Roman"/>
          <w:iCs/>
          <w:kern w:val="1"/>
          <w:sz w:val="20"/>
          <w:szCs w:val="20"/>
          <w:lang w:val="es-PE" w:eastAsia="hi-IN" w:bidi="hi-IN"/>
        </w:rPr>
        <w:t xml:space="preserve">muy diferentes en </w:t>
      </w:r>
      <w:r w:rsidRPr="00C61D1D">
        <w:rPr>
          <w:rFonts w:ascii="Times New Roman" w:eastAsia="Times New Roman" w:hAnsi="Times New Roman" w:cs="Times New Roman"/>
          <w:iCs/>
          <w:kern w:val="1"/>
          <w:sz w:val="20"/>
          <w:szCs w:val="20"/>
          <w:lang w:val="es-UY" w:eastAsia="hi-IN" w:bidi="hi-IN"/>
        </w:rPr>
        <w:t>[…]</w:t>
      </w:r>
      <w:r w:rsidRPr="00C61D1D">
        <w:rPr>
          <w:rFonts w:ascii="Times New Roman" w:eastAsia="Times New Roman" w:hAnsi="Times New Roman" w:cs="Times New Roman"/>
          <w:iCs/>
          <w:kern w:val="1"/>
          <w:sz w:val="20"/>
          <w:szCs w:val="20"/>
          <w:lang w:val="es-PE" w:eastAsia="hi-IN" w:bidi="hi-IN"/>
        </w:rPr>
        <w:t xml:space="preserve"> muchos aspectos, como en sus respectivos niveles de desarrollo económico, cultura, religión e historia´ (</w:t>
      </w:r>
      <w:proofErr w:type="spellStart"/>
      <w:r w:rsidRPr="00C61D1D">
        <w:rPr>
          <w:rFonts w:ascii="Times New Roman" w:eastAsia="Times New Roman" w:hAnsi="Times New Roman" w:cs="Times New Roman"/>
          <w:iCs/>
          <w:kern w:val="1"/>
          <w:sz w:val="20"/>
          <w:szCs w:val="20"/>
          <w:lang w:val="es-PE" w:eastAsia="hi-IN" w:bidi="hi-IN"/>
        </w:rPr>
        <w:t>Marsch</w:t>
      </w:r>
      <w:proofErr w:type="spellEnd"/>
      <w:r w:rsidRPr="00C61D1D">
        <w:rPr>
          <w:rFonts w:ascii="Times New Roman" w:eastAsia="Times New Roman" w:hAnsi="Times New Roman" w:cs="Times New Roman"/>
          <w:iCs/>
          <w:kern w:val="1"/>
          <w:sz w:val="20"/>
          <w:szCs w:val="20"/>
          <w:lang w:val="es-PE" w:eastAsia="hi-IN" w:bidi="hi-IN"/>
        </w:rPr>
        <w:t xml:space="preserve"> y </w:t>
      </w:r>
      <w:proofErr w:type="spellStart"/>
      <w:r w:rsidRPr="00C61D1D">
        <w:rPr>
          <w:rFonts w:ascii="Times New Roman" w:eastAsia="Times New Roman" w:hAnsi="Times New Roman" w:cs="Times New Roman"/>
          <w:iCs/>
          <w:kern w:val="1"/>
          <w:sz w:val="20"/>
          <w:szCs w:val="20"/>
          <w:lang w:val="es-PE" w:eastAsia="hi-IN" w:bidi="hi-IN"/>
        </w:rPr>
        <w:t>Stocker</w:t>
      </w:r>
      <w:proofErr w:type="spellEnd"/>
      <w:r w:rsidRPr="00C61D1D">
        <w:rPr>
          <w:rFonts w:ascii="Times New Roman" w:eastAsia="Times New Roman" w:hAnsi="Times New Roman" w:cs="Times New Roman"/>
          <w:iCs/>
          <w:kern w:val="1"/>
          <w:sz w:val="20"/>
          <w:szCs w:val="20"/>
          <w:lang w:val="es-PE" w:eastAsia="hi-IN" w:bidi="hi-IN"/>
        </w:rPr>
        <w:t>, 1997: 187) excepto en al menos dos características, las cuales serían el fenómeno investigado y la causa</w:t>
      </w:r>
      <w:r w:rsidRPr="00C61D1D">
        <w:rPr>
          <w:rFonts w:ascii="Times New Roman" w:eastAsia="Times New Roman" w:hAnsi="Times New Roman" w:cs="Times New Roman"/>
          <w:kern w:val="1"/>
          <w:sz w:val="20"/>
          <w:szCs w:val="20"/>
          <w:lang w:val="es-PE" w:eastAsia="hi-IN" w:bidi="hi-IN"/>
        </w:rPr>
        <w:t xml:space="preserve"> (Ramos Morales, 2012). </w:t>
      </w:r>
    </w:p>
    <w:p w:rsidR="00C61D1D" w:rsidRPr="00C61D1D" w:rsidRDefault="00C61D1D" w:rsidP="00025C34">
      <w:pPr>
        <w:suppressAutoHyphens/>
        <w:spacing w:before="238" w:after="0" w:line="480" w:lineRule="auto"/>
        <w:jc w:val="both"/>
        <w:rPr>
          <w:rFonts w:ascii="Times New Roman" w:eastAsia="Times New Roman" w:hAnsi="Times New Roman" w:cs="Times New Roman"/>
          <w:kern w:val="1"/>
          <w:sz w:val="24"/>
          <w:szCs w:val="24"/>
          <w:lang w:val="es-PE" w:eastAsia="hi-IN" w:bidi="hi-IN"/>
        </w:rPr>
      </w:pPr>
      <w:r w:rsidRPr="00C61D1D">
        <w:rPr>
          <w:rFonts w:ascii="Times New Roman" w:eastAsia="Times New Roman" w:hAnsi="Times New Roman" w:cs="Times New Roman"/>
          <w:iCs/>
          <w:kern w:val="1"/>
          <w:sz w:val="24"/>
          <w:szCs w:val="24"/>
          <w:lang w:val="es-PE" w:eastAsia="hi-IN" w:bidi="hi-IN"/>
        </w:rPr>
        <w:t>Sig</w:t>
      </w:r>
      <w:r w:rsidR="009E3F1D">
        <w:rPr>
          <w:rFonts w:ascii="Times New Roman" w:eastAsia="Times New Roman" w:hAnsi="Times New Roman" w:cs="Times New Roman"/>
          <w:iCs/>
          <w:kern w:val="1"/>
          <w:sz w:val="24"/>
          <w:szCs w:val="24"/>
          <w:lang w:val="es-PE" w:eastAsia="hi-IN" w:bidi="hi-IN"/>
        </w:rPr>
        <w:t xml:space="preserve">uiendo esta lógica, se postula como hipótesis </w:t>
      </w:r>
      <w:r w:rsidRPr="00C61D1D">
        <w:rPr>
          <w:rFonts w:ascii="Times New Roman" w:eastAsia="Times New Roman" w:hAnsi="Times New Roman" w:cs="Times New Roman"/>
          <w:iCs/>
          <w:kern w:val="1"/>
          <w:sz w:val="24"/>
          <w:szCs w:val="24"/>
          <w:lang w:val="es-PE" w:eastAsia="hi-IN" w:bidi="hi-IN"/>
        </w:rPr>
        <w:t xml:space="preserve">que la matriz de bienestar con perfil </w:t>
      </w:r>
      <w:proofErr w:type="spellStart"/>
      <w:r w:rsidRPr="00C61D1D">
        <w:rPr>
          <w:rFonts w:ascii="Times New Roman" w:eastAsia="Times New Roman" w:hAnsi="Times New Roman" w:cs="Times New Roman"/>
          <w:iCs/>
          <w:kern w:val="1"/>
          <w:sz w:val="24"/>
          <w:szCs w:val="24"/>
          <w:lang w:val="es-PE" w:eastAsia="hi-IN" w:bidi="hi-IN"/>
        </w:rPr>
        <w:t>desmercantilizador</w:t>
      </w:r>
      <w:proofErr w:type="spellEnd"/>
      <w:r w:rsidRPr="00C61D1D">
        <w:rPr>
          <w:rFonts w:ascii="Times New Roman" w:eastAsia="Times New Roman" w:hAnsi="Times New Roman" w:cs="Times New Roman"/>
          <w:iCs/>
          <w:kern w:val="1"/>
          <w:sz w:val="24"/>
          <w:szCs w:val="24"/>
          <w:lang w:val="es-PE" w:eastAsia="hi-IN" w:bidi="hi-IN"/>
        </w:rPr>
        <w:t xml:space="preserve"> y universalista se explicaría en buena medida</w:t>
      </w:r>
      <w:r w:rsidR="009E3F1D">
        <w:rPr>
          <w:rFonts w:ascii="Times New Roman" w:eastAsia="Times New Roman" w:hAnsi="Times New Roman" w:cs="Times New Roman"/>
          <w:iCs/>
          <w:kern w:val="1"/>
          <w:sz w:val="24"/>
          <w:szCs w:val="24"/>
          <w:lang w:val="es-PE" w:eastAsia="hi-IN" w:bidi="hi-IN"/>
        </w:rPr>
        <w:t xml:space="preserve"> –aunque no exclusivamente– </w:t>
      </w:r>
      <w:r w:rsidRPr="00C61D1D">
        <w:rPr>
          <w:rFonts w:ascii="Times New Roman" w:eastAsia="Times New Roman" w:hAnsi="Times New Roman" w:cs="Times New Roman"/>
          <w:iCs/>
          <w:kern w:val="1"/>
          <w:sz w:val="24"/>
          <w:szCs w:val="24"/>
          <w:lang w:val="es-PE" w:eastAsia="hi-IN" w:bidi="hi-IN"/>
        </w:rPr>
        <w:t xml:space="preserve">por la presencia de coaliciones </w:t>
      </w:r>
      <w:r w:rsidR="009E3F1D">
        <w:rPr>
          <w:rFonts w:ascii="Times New Roman" w:eastAsia="Times New Roman" w:hAnsi="Times New Roman" w:cs="Times New Roman"/>
          <w:iCs/>
          <w:kern w:val="1"/>
          <w:sz w:val="24"/>
          <w:szCs w:val="24"/>
          <w:lang w:val="es-PE" w:eastAsia="hi-IN" w:bidi="hi-IN"/>
        </w:rPr>
        <w:t xml:space="preserve">distributivas (robustas y estables) </w:t>
      </w:r>
      <w:r w:rsidRPr="00C61D1D">
        <w:rPr>
          <w:rFonts w:ascii="Times New Roman" w:eastAsia="Times New Roman" w:hAnsi="Times New Roman" w:cs="Times New Roman"/>
          <w:iCs/>
          <w:kern w:val="1"/>
          <w:sz w:val="24"/>
          <w:szCs w:val="24"/>
          <w:lang w:val="es-PE" w:eastAsia="hi-IN" w:bidi="hi-IN"/>
        </w:rPr>
        <w:t>entre un gobierno de izquierda o progresista y los principales movimientos sociales</w:t>
      </w:r>
      <w:r w:rsidRPr="00C61D1D">
        <w:rPr>
          <w:rFonts w:ascii="Times New Roman" w:eastAsia="Times New Roman" w:hAnsi="Times New Roman" w:cs="Times New Roman"/>
          <w:kern w:val="1"/>
          <w:sz w:val="24"/>
          <w:szCs w:val="24"/>
          <w:lang w:val="es-PE" w:eastAsia="hi-IN" w:bidi="hi-IN"/>
        </w:rPr>
        <w:t>, partiendo de trayectorias institucionales, políticas, económicas, sociales y culturales bien distintas.</w:t>
      </w:r>
    </w:p>
    <w:p w:rsidR="00907442" w:rsidRDefault="00E33FB7" w:rsidP="00A54538">
      <w:pPr>
        <w:spacing w:before="28" w:after="0" w:line="480" w:lineRule="auto"/>
        <w:jc w:val="both"/>
        <w:rPr>
          <w:rFonts w:ascii="Times New Roman" w:eastAsia="Times New Roman" w:hAnsi="Times New Roman" w:cs="Times New Roman"/>
          <w:sz w:val="24"/>
          <w:szCs w:val="24"/>
        </w:rPr>
      </w:pPr>
      <w:r w:rsidRPr="00E33FB7">
        <w:rPr>
          <w:rFonts w:ascii="Times New Roman" w:eastAsia="Times New Roman" w:hAnsi="Times New Roman" w:cs="Times New Roman"/>
          <w:sz w:val="24"/>
          <w:szCs w:val="24"/>
        </w:rPr>
        <w:t xml:space="preserve">Resulta pertinente enunciar algunas categorías conceptuales que constituyen el corpus teórico de la investigación. En ese sentido se entiende por </w:t>
      </w:r>
      <w:r w:rsidRPr="00B27151">
        <w:rPr>
          <w:rFonts w:ascii="Times New Roman" w:eastAsia="Times New Roman" w:hAnsi="Times New Roman" w:cs="Times New Roman"/>
          <w:i/>
          <w:sz w:val="24"/>
          <w:szCs w:val="24"/>
        </w:rPr>
        <w:t>matriz de bienestar</w:t>
      </w:r>
      <w:r w:rsidRPr="00E33FB7">
        <w:rPr>
          <w:rFonts w:ascii="Times New Roman" w:eastAsia="Times New Roman" w:hAnsi="Times New Roman" w:cs="Times New Roman"/>
          <w:sz w:val="24"/>
          <w:szCs w:val="24"/>
        </w:rPr>
        <w:t xml:space="preserve"> a una determinada combinación del conjunto de dispositivos públicos (cuerpos burocráticos y profesionales; normas de accesibilidad, servicios y bienes públicos; regulación de las prestaciones económicas; etc.) con otras fuentes de provisión de bienestar (familia, mercado y comunidad)</w:t>
      </w:r>
      <w:ins w:id="38" w:author="Claudia" w:date="2018-10-30T17:26:00Z">
        <w:r w:rsidR="004703A5">
          <w:rPr>
            <w:rFonts w:ascii="Times New Roman" w:eastAsia="Times New Roman" w:hAnsi="Times New Roman" w:cs="Times New Roman"/>
            <w:sz w:val="24"/>
            <w:szCs w:val="24"/>
          </w:rPr>
          <w:t>,</w:t>
        </w:r>
      </w:ins>
      <w:r w:rsidRPr="00E33FB7">
        <w:rPr>
          <w:rFonts w:ascii="Times New Roman" w:eastAsia="Times New Roman" w:hAnsi="Times New Roman" w:cs="Times New Roman"/>
          <w:sz w:val="24"/>
          <w:szCs w:val="24"/>
        </w:rPr>
        <w:t xml:space="preserve"> </w:t>
      </w:r>
      <w:r w:rsidR="00B27151">
        <w:rPr>
          <w:rFonts w:ascii="Times New Roman" w:eastAsia="Times New Roman" w:hAnsi="Times New Roman" w:cs="Times New Roman"/>
          <w:sz w:val="24"/>
          <w:szCs w:val="24"/>
        </w:rPr>
        <w:t xml:space="preserve">tal </w:t>
      </w:r>
      <w:r w:rsidRPr="00E33FB7">
        <w:rPr>
          <w:rFonts w:ascii="Times New Roman" w:eastAsia="Times New Roman" w:hAnsi="Times New Roman" w:cs="Times New Roman"/>
          <w:sz w:val="24"/>
          <w:szCs w:val="24"/>
        </w:rPr>
        <w:t xml:space="preserve">que garantiza el ejercicio de los derechos de ciudadanía en la región. </w:t>
      </w:r>
      <w:r w:rsidR="0066552F">
        <w:rPr>
          <w:rFonts w:ascii="Times New Roman" w:eastAsia="Times New Roman" w:hAnsi="Times New Roman" w:cs="Times New Roman"/>
          <w:sz w:val="24"/>
          <w:szCs w:val="24"/>
        </w:rPr>
        <w:t>De acuerdo al</w:t>
      </w:r>
      <w:r w:rsidRPr="00E33FB7">
        <w:rPr>
          <w:rFonts w:ascii="Times New Roman" w:eastAsia="Times New Roman" w:hAnsi="Times New Roman" w:cs="Times New Roman"/>
          <w:sz w:val="24"/>
          <w:szCs w:val="24"/>
        </w:rPr>
        <w:t xml:space="preserve"> concepto manejado por </w:t>
      </w:r>
      <w:proofErr w:type="spellStart"/>
      <w:r w:rsidRPr="00E33FB7">
        <w:rPr>
          <w:rFonts w:ascii="Times New Roman" w:eastAsia="Times New Roman" w:hAnsi="Times New Roman" w:cs="Times New Roman"/>
          <w:sz w:val="24"/>
          <w:szCs w:val="24"/>
        </w:rPr>
        <w:t>Midaglia</w:t>
      </w:r>
      <w:proofErr w:type="spellEnd"/>
      <w:r w:rsidRPr="00E33FB7">
        <w:rPr>
          <w:rFonts w:ascii="Times New Roman" w:eastAsia="Times New Roman" w:hAnsi="Times New Roman" w:cs="Times New Roman"/>
          <w:sz w:val="24"/>
          <w:szCs w:val="24"/>
        </w:rPr>
        <w:t xml:space="preserve"> (2005)</w:t>
      </w:r>
      <w:r w:rsidR="0066552F">
        <w:rPr>
          <w:rFonts w:ascii="Times New Roman" w:eastAsia="Times New Roman" w:hAnsi="Times New Roman" w:cs="Times New Roman"/>
          <w:sz w:val="24"/>
          <w:szCs w:val="24"/>
        </w:rPr>
        <w:t>, se</w:t>
      </w:r>
      <w:r w:rsidRPr="00E33FB7">
        <w:rPr>
          <w:rFonts w:ascii="Times New Roman" w:eastAsia="Times New Roman" w:hAnsi="Times New Roman" w:cs="Times New Roman"/>
          <w:sz w:val="24"/>
          <w:szCs w:val="24"/>
        </w:rPr>
        <w:t xml:space="preserve"> hace referencia a los</w:t>
      </w:r>
      <w:r w:rsidR="0066552F">
        <w:rPr>
          <w:rFonts w:ascii="Times New Roman" w:eastAsia="Times New Roman" w:hAnsi="Times New Roman" w:cs="Times New Roman"/>
          <w:sz w:val="24"/>
          <w:szCs w:val="24"/>
        </w:rPr>
        <w:t xml:space="preserve"> modelos de protección social y su asociación inevitable con las políticas sectoriales. </w:t>
      </w:r>
    </w:p>
    <w:p w:rsidR="00907442" w:rsidRPr="00907442" w:rsidRDefault="00907442" w:rsidP="00DE09DC">
      <w:pPr>
        <w:tabs>
          <w:tab w:val="left" w:pos="8505"/>
        </w:tabs>
        <w:spacing w:before="28" w:after="0" w:line="480" w:lineRule="auto"/>
        <w:ind w:left="851"/>
        <w:jc w:val="both"/>
        <w:rPr>
          <w:rFonts w:ascii="Times New Roman" w:eastAsia="Times New Roman" w:hAnsi="Times New Roman" w:cs="Times New Roman"/>
          <w:sz w:val="20"/>
          <w:szCs w:val="20"/>
        </w:rPr>
      </w:pPr>
      <w:r w:rsidRPr="00907442">
        <w:rPr>
          <w:rFonts w:ascii="Times New Roman" w:eastAsia="Times New Roman" w:hAnsi="Times New Roman" w:cs="Times New Roman"/>
          <w:iCs/>
          <w:sz w:val="20"/>
          <w:szCs w:val="20"/>
        </w:rPr>
        <w:t>…</w:t>
      </w:r>
      <w:r w:rsidR="00E33FB7" w:rsidRPr="00907442">
        <w:rPr>
          <w:rFonts w:ascii="Times New Roman" w:eastAsia="Times New Roman" w:hAnsi="Times New Roman" w:cs="Times New Roman"/>
          <w:iCs/>
          <w:sz w:val="20"/>
          <w:szCs w:val="20"/>
        </w:rPr>
        <w:t xml:space="preserve">sistemas de protección y bienestar instituidos en términos de </w:t>
      </w:r>
      <w:proofErr w:type="spellStart"/>
      <w:r w:rsidR="00E33FB7" w:rsidRPr="00907442">
        <w:rPr>
          <w:rFonts w:ascii="Times New Roman" w:eastAsia="Times New Roman" w:hAnsi="Times New Roman" w:cs="Times New Roman"/>
          <w:iCs/>
          <w:sz w:val="20"/>
          <w:szCs w:val="20"/>
        </w:rPr>
        <w:t>G.Esping</w:t>
      </w:r>
      <w:proofErr w:type="spellEnd"/>
      <w:r w:rsidR="00E33FB7" w:rsidRPr="00907442">
        <w:rPr>
          <w:rFonts w:ascii="Times New Roman" w:eastAsia="Times New Roman" w:hAnsi="Times New Roman" w:cs="Times New Roman"/>
          <w:iCs/>
          <w:sz w:val="20"/>
          <w:szCs w:val="20"/>
        </w:rPr>
        <w:t>-Andersen, es decir, esquemas institucionalizados de políticas sociales, de orientación universalista, donde el Estado es un agente significativo, ya sea en las funciones de diseño, implementación y/o regulación. Este sistema tradicionalmente ha operado de manera prioritaria en el mercado de trabajo, en el sector educativo y de salud</w:t>
      </w:r>
      <w:r w:rsidR="00E33FB7" w:rsidRPr="00907442">
        <w:rPr>
          <w:rFonts w:ascii="Times New Roman" w:eastAsia="Times New Roman" w:hAnsi="Times New Roman" w:cs="Times New Roman"/>
          <w:sz w:val="20"/>
          <w:szCs w:val="20"/>
        </w:rPr>
        <w:t xml:space="preserve"> (</w:t>
      </w:r>
      <w:proofErr w:type="spellStart"/>
      <w:r w:rsidR="0066552F">
        <w:rPr>
          <w:rFonts w:ascii="Times New Roman" w:eastAsia="Times New Roman" w:hAnsi="Times New Roman" w:cs="Times New Roman"/>
          <w:sz w:val="20"/>
          <w:szCs w:val="20"/>
        </w:rPr>
        <w:t>Midaglia</w:t>
      </w:r>
      <w:proofErr w:type="spellEnd"/>
      <w:r w:rsidR="0066552F">
        <w:rPr>
          <w:rFonts w:ascii="Times New Roman" w:eastAsia="Times New Roman" w:hAnsi="Times New Roman" w:cs="Times New Roman"/>
          <w:sz w:val="20"/>
          <w:szCs w:val="20"/>
        </w:rPr>
        <w:t xml:space="preserve">, </w:t>
      </w:r>
      <w:r w:rsidR="00E33FB7" w:rsidRPr="00907442">
        <w:rPr>
          <w:rFonts w:ascii="Times New Roman" w:eastAsia="Times New Roman" w:hAnsi="Times New Roman" w:cs="Times New Roman"/>
          <w:sz w:val="20"/>
          <w:szCs w:val="20"/>
        </w:rPr>
        <w:t>2005</w:t>
      </w:r>
      <w:ins w:id="39" w:author="Claudia" w:date="2018-10-30T17:32:00Z">
        <w:r w:rsidR="002945C6">
          <w:rPr>
            <w:rFonts w:ascii="Times New Roman" w:eastAsia="Times New Roman" w:hAnsi="Times New Roman" w:cs="Times New Roman"/>
            <w:sz w:val="20"/>
            <w:szCs w:val="20"/>
          </w:rPr>
          <w:t>.</w:t>
        </w:r>
      </w:ins>
      <w:del w:id="40" w:author="Claudia" w:date="2018-10-30T17:32:00Z">
        <w:r w:rsidR="00E33FB7" w:rsidRPr="00907442" w:rsidDel="002945C6">
          <w:rPr>
            <w:rFonts w:ascii="Times New Roman" w:eastAsia="Times New Roman" w:hAnsi="Times New Roman" w:cs="Times New Roman"/>
            <w:sz w:val="20"/>
            <w:szCs w:val="20"/>
          </w:rPr>
          <w:delText>:</w:delText>
        </w:r>
      </w:del>
      <w:r w:rsidR="00E33FB7" w:rsidRPr="00907442">
        <w:rPr>
          <w:rFonts w:ascii="Times New Roman" w:eastAsia="Times New Roman" w:hAnsi="Times New Roman" w:cs="Times New Roman"/>
          <w:sz w:val="20"/>
          <w:szCs w:val="20"/>
        </w:rPr>
        <w:t xml:space="preserve"> p85). </w:t>
      </w:r>
    </w:p>
    <w:p w:rsidR="00E33FB7" w:rsidRPr="00E33FB7" w:rsidRDefault="009E3F1D" w:rsidP="00A54538">
      <w:pPr>
        <w:spacing w:before="28"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proofErr w:type="spellStart"/>
      <w:r w:rsidR="00E33FB7" w:rsidRPr="00E33FB7">
        <w:rPr>
          <w:rFonts w:ascii="Times New Roman" w:eastAsia="Times New Roman" w:hAnsi="Times New Roman" w:cs="Times New Roman"/>
          <w:sz w:val="24"/>
          <w:szCs w:val="24"/>
        </w:rPr>
        <w:t>Offe</w:t>
      </w:r>
      <w:proofErr w:type="spellEnd"/>
      <w:r w:rsidR="00E33FB7" w:rsidRPr="00E33FB7">
        <w:rPr>
          <w:rFonts w:ascii="Times New Roman" w:eastAsia="Times New Roman" w:hAnsi="Times New Roman" w:cs="Times New Roman"/>
          <w:sz w:val="24"/>
          <w:szCs w:val="24"/>
        </w:rPr>
        <w:t xml:space="preserve"> </w:t>
      </w:r>
      <w:ins w:id="41" w:author="Claudia" w:date="2018-10-30T17:32:00Z">
        <w:r w:rsidR="002945C6">
          <w:rPr>
            <w:rFonts w:ascii="Times New Roman" w:eastAsia="Times New Roman" w:hAnsi="Times New Roman" w:cs="Times New Roman"/>
            <w:sz w:val="24"/>
            <w:szCs w:val="24"/>
          </w:rPr>
          <w:t xml:space="preserve">(1981) </w:t>
        </w:r>
      </w:ins>
      <w:r w:rsidR="00E33FB7" w:rsidRPr="00E33FB7">
        <w:rPr>
          <w:rFonts w:ascii="Times New Roman" w:eastAsia="Times New Roman" w:hAnsi="Times New Roman" w:cs="Times New Roman"/>
          <w:sz w:val="24"/>
          <w:szCs w:val="24"/>
        </w:rPr>
        <w:t xml:space="preserve">por su parte, entiende al Estado de Bienestar (europeo) como </w:t>
      </w:r>
      <w:r w:rsidR="00E33FB7" w:rsidRPr="00E33FB7">
        <w:rPr>
          <w:rFonts w:ascii="Times New Roman" w:eastAsia="Times New Roman" w:hAnsi="Times New Roman" w:cs="Times New Roman"/>
          <w:i/>
          <w:iCs/>
          <w:sz w:val="24"/>
          <w:szCs w:val="24"/>
        </w:rPr>
        <w:t>“…principal fórmula pacificadora de las democracias capitalistas avanzadas para el período subsiguiente a la Segunda Guerra Mundial…”</w:t>
      </w:r>
      <w:r w:rsidR="00E33FB7" w:rsidRPr="00E33FB7">
        <w:rPr>
          <w:rFonts w:ascii="Times New Roman" w:eastAsia="Times New Roman" w:hAnsi="Times New Roman" w:cs="Times New Roman"/>
          <w:sz w:val="24"/>
          <w:szCs w:val="24"/>
        </w:rPr>
        <w:t xml:space="preserve"> (</w:t>
      </w:r>
      <w:del w:id="42" w:author="Claudia" w:date="2018-10-30T17:33:00Z">
        <w:r w:rsidR="00E33FB7" w:rsidRPr="00E33FB7" w:rsidDel="002945C6">
          <w:rPr>
            <w:rFonts w:ascii="Times New Roman" w:eastAsia="Times New Roman" w:hAnsi="Times New Roman" w:cs="Times New Roman"/>
            <w:sz w:val="24"/>
            <w:szCs w:val="24"/>
          </w:rPr>
          <w:delText>1981:</w:delText>
        </w:r>
      </w:del>
      <w:ins w:id="43" w:author="Claudia" w:date="2018-10-30T17:33:00Z">
        <w:r w:rsidR="002945C6">
          <w:rPr>
            <w:rFonts w:ascii="Times New Roman" w:eastAsia="Times New Roman" w:hAnsi="Times New Roman" w:cs="Times New Roman"/>
            <w:sz w:val="24"/>
            <w:szCs w:val="24"/>
          </w:rPr>
          <w:t>p</w:t>
        </w:r>
      </w:ins>
      <w:del w:id="44" w:author="Claudia" w:date="2018-10-30T17:33:00Z">
        <w:r w:rsidR="00E33FB7" w:rsidRPr="00E33FB7" w:rsidDel="002945C6">
          <w:rPr>
            <w:rFonts w:ascii="Times New Roman" w:eastAsia="Times New Roman" w:hAnsi="Times New Roman" w:cs="Times New Roman"/>
            <w:sz w:val="24"/>
            <w:szCs w:val="24"/>
          </w:rPr>
          <w:delText xml:space="preserve"> </w:delText>
        </w:r>
      </w:del>
      <w:r w:rsidR="00E33FB7" w:rsidRPr="00E33FB7">
        <w:rPr>
          <w:rFonts w:ascii="Times New Roman" w:eastAsia="Times New Roman" w:hAnsi="Times New Roman" w:cs="Times New Roman"/>
          <w:sz w:val="24"/>
          <w:szCs w:val="24"/>
        </w:rPr>
        <w:t>135)</w:t>
      </w:r>
      <w:r w:rsidR="00D75FFB">
        <w:rPr>
          <w:rFonts w:ascii="Times New Roman" w:eastAsia="Times New Roman" w:hAnsi="Times New Roman" w:cs="Times New Roman"/>
          <w:sz w:val="24"/>
          <w:szCs w:val="24"/>
        </w:rPr>
        <w:t>, s</w:t>
      </w:r>
      <w:r w:rsidR="00E33FB7" w:rsidRPr="00E33FB7">
        <w:rPr>
          <w:rFonts w:ascii="Times New Roman" w:eastAsia="Times New Roman" w:hAnsi="Times New Roman" w:cs="Times New Roman"/>
          <w:sz w:val="24"/>
          <w:szCs w:val="24"/>
        </w:rPr>
        <w:t>ubraya</w:t>
      </w:r>
      <w:r w:rsidR="00D75FFB">
        <w:rPr>
          <w:rFonts w:ascii="Times New Roman" w:eastAsia="Times New Roman" w:hAnsi="Times New Roman" w:cs="Times New Roman"/>
          <w:sz w:val="24"/>
          <w:szCs w:val="24"/>
        </w:rPr>
        <w:t>ndo</w:t>
      </w:r>
      <w:r w:rsidR="00E33FB7" w:rsidRPr="00E33FB7">
        <w:rPr>
          <w:rFonts w:ascii="Times New Roman" w:eastAsia="Times New Roman" w:hAnsi="Times New Roman" w:cs="Times New Roman"/>
          <w:sz w:val="24"/>
          <w:szCs w:val="24"/>
        </w:rPr>
        <w:t>, asimismo, el reconocimiento del “</w:t>
      </w:r>
      <w:r w:rsidR="00E33FB7" w:rsidRPr="00E33FB7">
        <w:rPr>
          <w:rFonts w:ascii="Times New Roman" w:eastAsia="Times New Roman" w:hAnsi="Times New Roman" w:cs="Times New Roman"/>
          <w:i/>
          <w:iCs/>
          <w:sz w:val="24"/>
          <w:szCs w:val="24"/>
        </w:rPr>
        <w:t>papel formal de los sindicatos tanto en la negociación colectiva como en la formación de los planes públicos</w:t>
      </w:r>
      <w:r w:rsidR="00E33FB7" w:rsidRPr="00E33FB7">
        <w:rPr>
          <w:rFonts w:ascii="Times New Roman" w:eastAsia="Times New Roman" w:hAnsi="Times New Roman" w:cs="Times New Roman"/>
          <w:sz w:val="24"/>
          <w:szCs w:val="24"/>
        </w:rPr>
        <w:t>” (</w:t>
      </w:r>
      <w:del w:id="45" w:author="Claudia" w:date="2018-10-30T17:33:00Z">
        <w:r w:rsidR="00E33FB7" w:rsidRPr="00E33FB7" w:rsidDel="002945C6">
          <w:rPr>
            <w:rFonts w:ascii="Times New Roman" w:eastAsia="Times New Roman" w:hAnsi="Times New Roman" w:cs="Times New Roman"/>
            <w:sz w:val="24"/>
            <w:szCs w:val="24"/>
          </w:rPr>
          <w:delText>Offe 1981:</w:delText>
        </w:r>
      </w:del>
      <w:ins w:id="46" w:author="Claudia" w:date="2018-10-30T17:33:00Z">
        <w:r w:rsidR="002945C6">
          <w:rPr>
            <w:rFonts w:ascii="Times New Roman" w:eastAsia="Times New Roman" w:hAnsi="Times New Roman" w:cs="Times New Roman"/>
            <w:sz w:val="24"/>
            <w:szCs w:val="24"/>
          </w:rPr>
          <w:t>p</w:t>
        </w:r>
      </w:ins>
      <w:r w:rsidR="00E33FB7" w:rsidRPr="00E33FB7">
        <w:rPr>
          <w:rFonts w:ascii="Times New Roman" w:eastAsia="Times New Roman" w:hAnsi="Times New Roman" w:cs="Times New Roman"/>
          <w:sz w:val="24"/>
          <w:szCs w:val="24"/>
        </w:rPr>
        <w:t>135). Desde la perspectiva latinoamericana, muchos autores refieren al “</w:t>
      </w:r>
      <w:r w:rsidR="00E33FB7" w:rsidRPr="00E33FB7">
        <w:rPr>
          <w:rFonts w:ascii="Times New Roman" w:eastAsia="Times New Roman" w:hAnsi="Times New Roman" w:cs="Times New Roman"/>
          <w:i/>
          <w:iCs/>
          <w:sz w:val="24"/>
          <w:szCs w:val="24"/>
        </w:rPr>
        <w:t>Estado Social Latinoamericano</w:t>
      </w:r>
      <w:r w:rsidR="00E33FB7" w:rsidRPr="00E33FB7">
        <w:rPr>
          <w:rFonts w:ascii="Times New Roman" w:eastAsia="Times New Roman" w:hAnsi="Times New Roman" w:cs="Times New Roman"/>
          <w:sz w:val="24"/>
          <w:szCs w:val="24"/>
        </w:rPr>
        <w:t>” (</w:t>
      </w:r>
      <w:proofErr w:type="spellStart"/>
      <w:r w:rsidR="00E33FB7" w:rsidRPr="00E33FB7">
        <w:rPr>
          <w:rFonts w:ascii="Times New Roman" w:eastAsia="Times New Roman" w:hAnsi="Times New Roman" w:cs="Times New Roman"/>
          <w:sz w:val="24"/>
          <w:szCs w:val="24"/>
        </w:rPr>
        <w:t>Filgueira</w:t>
      </w:r>
      <w:proofErr w:type="spellEnd"/>
      <w:ins w:id="47" w:author="Claudia" w:date="2018-10-30T17:33:00Z">
        <w:r w:rsidR="002945C6">
          <w:rPr>
            <w:rFonts w:ascii="Times New Roman" w:eastAsia="Times New Roman" w:hAnsi="Times New Roman" w:cs="Times New Roman"/>
            <w:sz w:val="24"/>
            <w:szCs w:val="24"/>
          </w:rPr>
          <w:t>,</w:t>
        </w:r>
      </w:ins>
      <w:r w:rsidR="00E33FB7" w:rsidRPr="00E33FB7">
        <w:rPr>
          <w:rFonts w:ascii="Times New Roman" w:eastAsia="Times New Roman" w:hAnsi="Times New Roman" w:cs="Times New Roman"/>
          <w:sz w:val="24"/>
          <w:szCs w:val="24"/>
        </w:rPr>
        <w:t xml:space="preserve"> 20</w:t>
      </w:r>
      <w:r w:rsidR="00686027">
        <w:rPr>
          <w:rFonts w:ascii="Times New Roman" w:eastAsia="Times New Roman" w:hAnsi="Times New Roman" w:cs="Times New Roman"/>
          <w:sz w:val="24"/>
          <w:szCs w:val="24"/>
        </w:rPr>
        <w:t>15</w:t>
      </w:r>
      <w:r w:rsidR="00E33FB7" w:rsidRPr="00E33FB7">
        <w:rPr>
          <w:rFonts w:ascii="Times New Roman" w:eastAsia="Times New Roman" w:hAnsi="Times New Roman" w:cs="Times New Roman"/>
          <w:sz w:val="24"/>
          <w:szCs w:val="24"/>
        </w:rPr>
        <w:t xml:space="preserve">; </w:t>
      </w:r>
      <w:proofErr w:type="spellStart"/>
      <w:r w:rsidR="00E33FB7" w:rsidRPr="00E33FB7">
        <w:rPr>
          <w:rFonts w:ascii="Times New Roman" w:eastAsia="Times New Roman" w:hAnsi="Times New Roman" w:cs="Times New Roman"/>
          <w:sz w:val="24"/>
          <w:szCs w:val="24"/>
        </w:rPr>
        <w:t>Draibe</w:t>
      </w:r>
      <w:proofErr w:type="spellEnd"/>
      <w:r w:rsidR="00E33FB7" w:rsidRPr="00E33FB7">
        <w:rPr>
          <w:rFonts w:ascii="Times New Roman" w:eastAsia="Times New Roman" w:hAnsi="Times New Roman" w:cs="Times New Roman"/>
          <w:sz w:val="24"/>
          <w:szCs w:val="24"/>
        </w:rPr>
        <w:t xml:space="preserve"> y Riesco</w:t>
      </w:r>
      <w:ins w:id="48" w:author="Claudia" w:date="2018-10-30T17:33:00Z">
        <w:r w:rsidR="002945C6">
          <w:rPr>
            <w:rFonts w:ascii="Times New Roman" w:eastAsia="Times New Roman" w:hAnsi="Times New Roman" w:cs="Times New Roman"/>
            <w:sz w:val="24"/>
            <w:szCs w:val="24"/>
          </w:rPr>
          <w:t>,</w:t>
        </w:r>
      </w:ins>
      <w:r w:rsidR="00E33FB7" w:rsidRPr="00E33FB7">
        <w:rPr>
          <w:rFonts w:ascii="Times New Roman" w:eastAsia="Times New Roman" w:hAnsi="Times New Roman" w:cs="Times New Roman"/>
          <w:sz w:val="24"/>
          <w:szCs w:val="24"/>
        </w:rPr>
        <w:t xml:space="preserve"> 2006) para dar cuenta de las respuestas estatales ante la cuestión social y los problemas concomitantes. </w:t>
      </w:r>
    </w:p>
    <w:p w:rsidR="003F5E70" w:rsidRDefault="003F5E70" w:rsidP="003F5E70">
      <w:pPr>
        <w:spacing w:before="28" w:after="0" w:line="48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E33FB7" w:rsidRPr="00E33FB7">
        <w:rPr>
          <w:rFonts w:ascii="Times New Roman" w:eastAsia="Times New Roman" w:hAnsi="Times New Roman" w:cs="Times New Roman"/>
          <w:sz w:val="24"/>
          <w:szCs w:val="24"/>
        </w:rPr>
        <w:t xml:space="preserve">e parte </w:t>
      </w:r>
      <w:r w:rsidR="00D75FFB">
        <w:rPr>
          <w:rFonts w:ascii="Times New Roman" w:eastAsia="Times New Roman" w:hAnsi="Times New Roman" w:cs="Times New Roman"/>
          <w:sz w:val="24"/>
          <w:szCs w:val="24"/>
        </w:rPr>
        <w:t>d</w:t>
      </w:r>
      <w:r w:rsidR="00E33FB7" w:rsidRPr="00E33FB7">
        <w:rPr>
          <w:rFonts w:ascii="Times New Roman" w:eastAsia="Times New Roman" w:hAnsi="Times New Roman" w:cs="Times New Roman"/>
          <w:sz w:val="24"/>
          <w:szCs w:val="24"/>
        </w:rPr>
        <w:t xml:space="preserve">el supuesto </w:t>
      </w:r>
      <w:ins w:id="49" w:author="Claudia" w:date="2018-10-30T17:33:00Z">
        <w:r w:rsidR="002945C6">
          <w:rPr>
            <w:rFonts w:ascii="Times New Roman" w:eastAsia="Times New Roman" w:hAnsi="Times New Roman" w:cs="Times New Roman"/>
            <w:sz w:val="24"/>
            <w:szCs w:val="24"/>
          </w:rPr>
          <w:t xml:space="preserve">de </w:t>
        </w:r>
      </w:ins>
      <w:r w:rsidR="00E33FB7" w:rsidRPr="00E33FB7">
        <w:rPr>
          <w:rFonts w:ascii="Times New Roman" w:eastAsia="Times New Roman" w:hAnsi="Times New Roman" w:cs="Times New Roman"/>
          <w:sz w:val="24"/>
          <w:szCs w:val="24"/>
        </w:rPr>
        <w:t xml:space="preserve">que </w:t>
      </w:r>
      <w:r>
        <w:rPr>
          <w:rFonts w:ascii="Times New Roman" w:eastAsia="Times New Roman" w:hAnsi="Times New Roman" w:cs="Times New Roman"/>
          <w:sz w:val="24"/>
          <w:szCs w:val="24"/>
        </w:rPr>
        <w:t>las</w:t>
      </w:r>
      <w:r w:rsidR="00E33FB7" w:rsidRPr="00E33FB7">
        <w:rPr>
          <w:rFonts w:ascii="Times New Roman" w:eastAsia="Times New Roman" w:hAnsi="Times New Roman" w:cs="Times New Roman"/>
          <w:sz w:val="24"/>
          <w:szCs w:val="24"/>
        </w:rPr>
        <w:t xml:space="preserve"> formaciones políticas de izquierda son más proclives a desarrollar estrategias tendientes a la igualdad y equidad social, </w:t>
      </w:r>
      <w:r>
        <w:rPr>
          <w:rFonts w:ascii="Times New Roman" w:eastAsia="Times New Roman" w:hAnsi="Times New Roman" w:cs="Times New Roman"/>
          <w:sz w:val="24"/>
          <w:szCs w:val="24"/>
        </w:rPr>
        <w:t>y a</w:t>
      </w:r>
      <w:r w:rsidR="00E33FB7" w:rsidRPr="00E33FB7">
        <w:rPr>
          <w:rFonts w:ascii="Times New Roman" w:eastAsia="Times New Roman" w:hAnsi="Times New Roman" w:cs="Times New Roman"/>
          <w:sz w:val="24"/>
          <w:szCs w:val="24"/>
        </w:rPr>
        <w:t xml:space="preserve">un cuando numerosos </w:t>
      </w:r>
      <w:proofErr w:type="spellStart"/>
      <w:r w:rsidR="00E33FB7" w:rsidRPr="00E33FB7">
        <w:rPr>
          <w:rFonts w:ascii="Times New Roman" w:eastAsia="Times New Roman" w:hAnsi="Times New Roman" w:cs="Times New Roman"/>
          <w:sz w:val="24"/>
          <w:szCs w:val="24"/>
        </w:rPr>
        <w:t>cientistas</w:t>
      </w:r>
      <w:proofErr w:type="spellEnd"/>
      <w:r w:rsidR="00E33FB7" w:rsidRPr="00E33FB7">
        <w:rPr>
          <w:rFonts w:ascii="Times New Roman" w:eastAsia="Times New Roman" w:hAnsi="Times New Roman" w:cs="Times New Roman"/>
          <w:sz w:val="24"/>
          <w:szCs w:val="24"/>
        </w:rPr>
        <w:t xml:space="preserve"> políticos, sociólogos y analistas relativizan los conceptos</w:t>
      </w:r>
      <w:r w:rsidR="00217516">
        <w:rPr>
          <w:rFonts w:ascii="Times New Roman" w:eastAsia="Times New Roman" w:hAnsi="Times New Roman" w:cs="Times New Roman"/>
          <w:sz w:val="24"/>
          <w:szCs w:val="24"/>
        </w:rPr>
        <w:t xml:space="preserve"> de </w:t>
      </w:r>
      <w:r w:rsidR="00217516" w:rsidRPr="00217516">
        <w:rPr>
          <w:rFonts w:ascii="Times New Roman" w:eastAsia="Times New Roman" w:hAnsi="Times New Roman" w:cs="Times New Roman"/>
          <w:i/>
          <w:sz w:val="24"/>
          <w:szCs w:val="24"/>
        </w:rPr>
        <w:t>izquierda y derecha</w:t>
      </w:r>
      <w:r w:rsidR="00E33FB7" w:rsidRPr="00E33FB7">
        <w:rPr>
          <w:rFonts w:ascii="Times New Roman" w:eastAsia="Times New Roman" w:hAnsi="Times New Roman" w:cs="Times New Roman"/>
          <w:sz w:val="24"/>
          <w:szCs w:val="24"/>
        </w:rPr>
        <w:t>, su formul</w:t>
      </w:r>
      <w:r>
        <w:rPr>
          <w:rFonts w:ascii="Times New Roman" w:eastAsia="Times New Roman" w:hAnsi="Times New Roman" w:cs="Times New Roman"/>
          <w:sz w:val="24"/>
          <w:szCs w:val="24"/>
        </w:rPr>
        <w:t>ación y su aplicación práctica –e</w:t>
      </w:r>
      <w:r w:rsidR="00E33FB7" w:rsidRPr="00E33FB7">
        <w:rPr>
          <w:rFonts w:ascii="Times New Roman" w:eastAsia="Times New Roman" w:hAnsi="Times New Roman" w:cs="Times New Roman"/>
          <w:sz w:val="24"/>
          <w:szCs w:val="24"/>
        </w:rPr>
        <w:t xml:space="preserve">ntre otros, Sartori (1998), </w:t>
      </w:r>
      <w:proofErr w:type="spellStart"/>
      <w:r w:rsidR="00E33FB7" w:rsidRPr="00E33FB7">
        <w:rPr>
          <w:rFonts w:ascii="Times New Roman" w:eastAsia="Times New Roman" w:hAnsi="Times New Roman" w:cs="Times New Roman"/>
          <w:sz w:val="24"/>
          <w:szCs w:val="24"/>
        </w:rPr>
        <w:t>Bobbio</w:t>
      </w:r>
      <w:proofErr w:type="spellEnd"/>
      <w:r w:rsidR="00E33FB7" w:rsidRPr="00E33FB7">
        <w:rPr>
          <w:rFonts w:ascii="Times New Roman" w:eastAsia="Times New Roman" w:hAnsi="Times New Roman" w:cs="Times New Roman"/>
          <w:sz w:val="24"/>
          <w:szCs w:val="24"/>
        </w:rPr>
        <w:t xml:space="preserve"> (1995) y </w:t>
      </w:r>
      <w:proofErr w:type="spellStart"/>
      <w:r w:rsidR="00E33FB7" w:rsidRPr="00E33FB7">
        <w:rPr>
          <w:rFonts w:ascii="Times New Roman" w:eastAsia="Times New Roman" w:hAnsi="Times New Roman" w:cs="Times New Roman"/>
          <w:sz w:val="24"/>
          <w:szCs w:val="24"/>
        </w:rPr>
        <w:t>Giddens</w:t>
      </w:r>
      <w:proofErr w:type="spellEnd"/>
      <w:r w:rsidR="00E33FB7" w:rsidRPr="00E33FB7">
        <w:rPr>
          <w:rFonts w:ascii="Times New Roman" w:eastAsia="Times New Roman" w:hAnsi="Times New Roman" w:cs="Times New Roman"/>
          <w:sz w:val="24"/>
          <w:szCs w:val="24"/>
        </w:rPr>
        <w:t xml:space="preserve"> (2011</w:t>
      </w:r>
      <w:r w:rsidRPr="00E33FB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 se </w:t>
      </w:r>
      <w:r w:rsidR="00E33FB7" w:rsidRPr="00E33FB7">
        <w:rPr>
          <w:rFonts w:ascii="Times New Roman" w:eastAsia="Times New Roman" w:hAnsi="Times New Roman" w:cs="Times New Roman"/>
          <w:sz w:val="24"/>
          <w:szCs w:val="24"/>
        </w:rPr>
        <w:t xml:space="preserve">entenderá que son términos que facilitan la comprensión de los procesos sociopolíticos en la región latinoamericana. </w:t>
      </w:r>
    </w:p>
    <w:p w:rsidR="003F5E70" w:rsidRDefault="003F5E70" w:rsidP="003F5E70">
      <w:pPr>
        <w:spacing w:before="28" w:after="0" w:line="480" w:lineRule="auto"/>
        <w:ind w:right="-1"/>
        <w:jc w:val="both"/>
        <w:rPr>
          <w:rFonts w:ascii="Times New Roman" w:eastAsia="Times New Roman" w:hAnsi="Times New Roman" w:cs="Times New Roman"/>
          <w:sz w:val="24"/>
          <w:szCs w:val="24"/>
        </w:rPr>
      </w:pPr>
    </w:p>
    <w:p w:rsidR="002E5A0D" w:rsidRPr="003F5E70" w:rsidRDefault="002E5A0D" w:rsidP="003F5E70">
      <w:pPr>
        <w:pStyle w:val="Prrafodelista"/>
        <w:numPr>
          <w:ilvl w:val="0"/>
          <w:numId w:val="1"/>
        </w:numPr>
        <w:spacing w:before="28" w:after="0" w:line="480" w:lineRule="auto"/>
        <w:ind w:right="-1"/>
        <w:jc w:val="both"/>
        <w:rPr>
          <w:rFonts w:ascii="Times New Roman" w:hAnsi="Times New Roman" w:cs="Times New Roman"/>
          <w:b/>
          <w:sz w:val="24"/>
          <w:szCs w:val="24"/>
        </w:rPr>
      </w:pPr>
      <w:r w:rsidRPr="003F5E70">
        <w:rPr>
          <w:rFonts w:ascii="Times New Roman" w:hAnsi="Times New Roman" w:cs="Times New Roman"/>
          <w:b/>
          <w:sz w:val="24"/>
          <w:szCs w:val="24"/>
        </w:rPr>
        <w:t>Los datos del bienestar</w:t>
      </w:r>
    </w:p>
    <w:p w:rsidR="00B27151" w:rsidRDefault="00B27151" w:rsidP="00B27151">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Los dos países considerados en el estudio han tenido trayectorias similares </w:t>
      </w:r>
      <w:ins w:id="50" w:author="Claudia" w:date="2018-10-30T17:34:00Z">
        <w:r w:rsidR="002945C6">
          <w:rPr>
            <w:rFonts w:ascii="Times New Roman" w:hAnsi="Times New Roman" w:cs="Times New Roman"/>
            <w:sz w:val="24"/>
            <w:szCs w:val="24"/>
          </w:rPr>
          <w:t>(</w:t>
        </w:r>
        <w:proofErr w:type="spellStart"/>
        <w:r w:rsidR="002945C6" w:rsidRPr="00B27151">
          <w:rPr>
            <w:rFonts w:ascii="Times New Roman" w:hAnsi="Times New Roman" w:cs="Times New Roman"/>
            <w:i/>
            <w:sz w:val="24"/>
            <w:szCs w:val="24"/>
          </w:rPr>
          <w:t>path</w:t>
        </w:r>
        <w:proofErr w:type="spellEnd"/>
        <w:r w:rsidR="002945C6" w:rsidRPr="00B27151">
          <w:rPr>
            <w:rFonts w:ascii="Times New Roman" w:hAnsi="Times New Roman" w:cs="Times New Roman"/>
            <w:i/>
            <w:sz w:val="24"/>
            <w:szCs w:val="24"/>
          </w:rPr>
          <w:t xml:space="preserve"> </w:t>
        </w:r>
        <w:proofErr w:type="spellStart"/>
        <w:r w:rsidR="002945C6" w:rsidRPr="00B27151">
          <w:rPr>
            <w:rFonts w:ascii="Times New Roman" w:hAnsi="Times New Roman" w:cs="Times New Roman"/>
            <w:i/>
            <w:sz w:val="24"/>
            <w:szCs w:val="24"/>
          </w:rPr>
          <w:t>depend</w:t>
        </w:r>
        <w:r w:rsidR="002945C6">
          <w:rPr>
            <w:rFonts w:ascii="Times New Roman" w:hAnsi="Times New Roman" w:cs="Times New Roman"/>
            <w:i/>
            <w:sz w:val="24"/>
            <w:szCs w:val="24"/>
          </w:rPr>
          <w:t>ency</w:t>
        </w:r>
        <w:proofErr w:type="spellEnd"/>
        <w:r w:rsidR="002945C6">
          <w:rPr>
            <w:rFonts w:ascii="Times New Roman" w:hAnsi="Times New Roman" w:cs="Times New Roman"/>
            <w:sz w:val="24"/>
            <w:szCs w:val="24"/>
          </w:rPr>
          <w:t>)</w:t>
        </w:r>
        <w:r w:rsidR="002945C6">
          <w:rPr>
            <w:rFonts w:ascii="Times New Roman" w:hAnsi="Times New Roman" w:cs="Times New Roman"/>
            <w:sz w:val="24"/>
            <w:szCs w:val="24"/>
          </w:rPr>
          <w:t xml:space="preserve"> </w:t>
        </w:r>
      </w:ins>
      <w:r>
        <w:rPr>
          <w:rFonts w:ascii="Times New Roman" w:hAnsi="Times New Roman" w:cs="Times New Roman"/>
          <w:sz w:val="24"/>
          <w:szCs w:val="24"/>
        </w:rPr>
        <w:t>en cuanto a sistemas de protección social</w:t>
      </w:r>
      <w:del w:id="51" w:author="Claudia" w:date="2018-10-30T17:34:00Z">
        <w:r w:rsidDel="002945C6">
          <w:rPr>
            <w:rFonts w:ascii="Times New Roman" w:hAnsi="Times New Roman" w:cs="Times New Roman"/>
            <w:sz w:val="24"/>
            <w:szCs w:val="24"/>
          </w:rPr>
          <w:delText xml:space="preserve"> (</w:delText>
        </w:r>
        <w:r w:rsidRPr="00B27151" w:rsidDel="002945C6">
          <w:rPr>
            <w:rFonts w:ascii="Times New Roman" w:hAnsi="Times New Roman" w:cs="Times New Roman"/>
            <w:i/>
            <w:sz w:val="24"/>
            <w:szCs w:val="24"/>
          </w:rPr>
          <w:delText xml:space="preserve">path </w:delText>
        </w:r>
        <w:r w:rsidR="00F12EE0" w:rsidRPr="00B27151" w:rsidDel="002945C6">
          <w:rPr>
            <w:rFonts w:ascii="Times New Roman" w:hAnsi="Times New Roman" w:cs="Times New Roman"/>
            <w:i/>
            <w:sz w:val="24"/>
            <w:szCs w:val="24"/>
          </w:rPr>
          <w:delText>depend</w:delText>
        </w:r>
        <w:r w:rsidR="00F12EE0" w:rsidDel="002945C6">
          <w:rPr>
            <w:rFonts w:ascii="Times New Roman" w:hAnsi="Times New Roman" w:cs="Times New Roman"/>
            <w:i/>
            <w:sz w:val="24"/>
            <w:szCs w:val="24"/>
          </w:rPr>
          <w:delText>ency</w:delText>
        </w:r>
        <w:r w:rsidDel="002945C6">
          <w:rPr>
            <w:rFonts w:ascii="Times New Roman" w:hAnsi="Times New Roman" w:cs="Times New Roman"/>
            <w:sz w:val="24"/>
            <w:szCs w:val="24"/>
          </w:rPr>
          <w:delText>)</w:delText>
        </w:r>
      </w:del>
      <w:r>
        <w:rPr>
          <w:rFonts w:ascii="Times New Roman" w:hAnsi="Times New Roman" w:cs="Times New Roman"/>
          <w:sz w:val="24"/>
          <w:szCs w:val="24"/>
        </w:rPr>
        <w:t>, no así en el campo de los sistemas de partidos y el tipo de vínculos con los movimientos sociales. Ciertamente, al considerar los regímenes de bienestar en cada caso, observamos que la distancia respecto a la mayoría de las naciones latinoamericanas es importante</w:t>
      </w:r>
      <w:r w:rsidR="00912FC2">
        <w:rPr>
          <w:rFonts w:ascii="Times New Roman" w:hAnsi="Times New Roman" w:cs="Times New Roman"/>
          <w:sz w:val="24"/>
          <w:szCs w:val="24"/>
        </w:rPr>
        <w:t>, habida cuenta del desarrollo temprano de dispositivos de protección social de amplio espectro y cobertura previsional expandida (Mesa Lago,</w:t>
      </w:r>
      <w:r w:rsidR="00217516">
        <w:rPr>
          <w:rFonts w:ascii="Times New Roman" w:hAnsi="Times New Roman" w:cs="Times New Roman"/>
          <w:sz w:val="24"/>
          <w:szCs w:val="24"/>
        </w:rPr>
        <w:t xml:space="preserve"> 2000</w:t>
      </w:r>
      <w:r w:rsidR="00912FC2">
        <w:rPr>
          <w:rFonts w:ascii="Times New Roman" w:hAnsi="Times New Roman" w:cs="Times New Roman"/>
          <w:sz w:val="24"/>
          <w:szCs w:val="24"/>
        </w:rPr>
        <w:t xml:space="preserve">). </w:t>
      </w:r>
      <w:r w:rsidR="008015F6">
        <w:rPr>
          <w:rFonts w:ascii="Times New Roman" w:hAnsi="Times New Roman" w:cs="Times New Roman"/>
          <w:sz w:val="24"/>
          <w:szCs w:val="24"/>
        </w:rPr>
        <w:t xml:space="preserve">En este </w:t>
      </w:r>
      <w:commentRangeStart w:id="52"/>
      <w:r w:rsidR="008015F6">
        <w:rPr>
          <w:rFonts w:ascii="Times New Roman" w:hAnsi="Times New Roman" w:cs="Times New Roman"/>
          <w:sz w:val="24"/>
          <w:szCs w:val="24"/>
        </w:rPr>
        <w:t>capítulo</w:t>
      </w:r>
      <w:commentRangeEnd w:id="52"/>
      <w:r w:rsidR="002945C6">
        <w:rPr>
          <w:rStyle w:val="Refdecomentario"/>
          <w:rFonts w:ascii="Times New Roman" w:eastAsia="SimSun" w:hAnsi="Times New Roman" w:cs="Mangal"/>
          <w:kern w:val="1"/>
          <w:lang w:val="es-UY" w:eastAsia="hi-IN" w:bidi="hi-IN"/>
        </w:rPr>
        <w:commentReference w:id="52"/>
      </w:r>
      <w:r w:rsidR="008015F6">
        <w:rPr>
          <w:rFonts w:ascii="Times New Roman" w:hAnsi="Times New Roman" w:cs="Times New Roman"/>
          <w:sz w:val="24"/>
          <w:szCs w:val="24"/>
        </w:rPr>
        <w:t xml:space="preserve"> se identifican los avances sociales observados entre 2000 y 2015, teniendo especialmente en cuenta, los cambios realizados a partir del recambio de gobierno, en 2003 para el caso argentino y 2005 para el uruguayo. Resulta indudable una mejora de algunos indicadores en el período considerado, por cuenta de tres factores fundamentales; en primer lugar, </w:t>
      </w:r>
      <w:commentRangeStart w:id="53"/>
      <w:r w:rsidR="008015F6">
        <w:rPr>
          <w:rFonts w:ascii="Times New Roman" w:hAnsi="Times New Roman" w:cs="Times New Roman"/>
          <w:sz w:val="24"/>
          <w:szCs w:val="24"/>
        </w:rPr>
        <w:t xml:space="preserve">debido a un crecimiento económico sostenido en base –aunque no exclusivamente– al boom de los </w:t>
      </w:r>
      <w:proofErr w:type="spellStart"/>
      <w:r w:rsidR="008015F6">
        <w:rPr>
          <w:rFonts w:ascii="Times New Roman" w:hAnsi="Times New Roman" w:cs="Times New Roman"/>
          <w:sz w:val="24"/>
          <w:szCs w:val="24"/>
        </w:rPr>
        <w:t>commodities</w:t>
      </w:r>
      <w:proofErr w:type="spellEnd"/>
      <w:r w:rsidR="008015F6">
        <w:rPr>
          <w:rFonts w:ascii="Times New Roman" w:hAnsi="Times New Roman" w:cs="Times New Roman"/>
          <w:sz w:val="24"/>
          <w:szCs w:val="24"/>
        </w:rPr>
        <w:t xml:space="preserve"> (clave económica)</w:t>
      </w:r>
      <w:commentRangeEnd w:id="53"/>
      <w:r w:rsidR="002945C6">
        <w:rPr>
          <w:rStyle w:val="Refdecomentario"/>
          <w:rFonts w:ascii="Times New Roman" w:eastAsia="SimSun" w:hAnsi="Times New Roman" w:cs="Mangal"/>
          <w:kern w:val="1"/>
          <w:lang w:val="es-UY" w:eastAsia="hi-IN" w:bidi="hi-IN"/>
        </w:rPr>
        <w:commentReference w:id="53"/>
      </w:r>
      <w:r w:rsidR="008015F6">
        <w:rPr>
          <w:rFonts w:ascii="Times New Roman" w:hAnsi="Times New Roman" w:cs="Times New Roman"/>
          <w:sz w:val="24"/>
          <w:szCs w:val="24"/>
        </w:rPr>
        <w:t xml:space="preserve">; en segundo lugar, en razón de la reorientación sustantiva de las políticas públicas, sobre todo aquellas concernientes a la atención de la cuestión social (clave ideológica) y en tercer lugar, por </w:t>
      </w:r>
      <w:r w:rsidR="00550392">
        <w:rPr>
          <w:rFonts w:ascii="Times New Roman" w:hAnsi="Times New Roman" w:cs="Times New Roman"/>
          <w:sz w:val="24"/>
          <w:szCs w:val="24"/>
        </w:rPr>
        <w:t xml:space="preserve">efecto de </w:t>
      </w:r>
      <w:r w:rsidR="008015F6">
        <w:rPr>
          <w:rFonts w:ascii="Times New Roman" w:hAnsi="Times New Roman" w:cs="Times New Roman"/>
          <w:sz w:val="24"/>
          <w:szCs w:val="24"/>
        </w:rPr>
        <w:t>la protesta y movilización social (clave acción colectiva).</w:t>
      </w:r>
      <w:r w:rsidR="00A54538">
        <w:rPr>
          <w:rFonts w:ascii="Times New Roman" w:hAnsi="Times New Roman" w:cs="Times New Roman"/>
          <w:sz w:val="24"/>
          <w:szCs w:val="24"/>
        </w:rPr>
        <w:t xml:space="preserve"> Analiza</w:t>
      </w:r>
      <w:r w:rsidR="00550392">
        <w:rPr>
          <w:rFonts w:ascii="Times New Roman" w:hAnsi="Times New Roman" w:cs="Times New Roman"/>
          <w:sz w:val="24"/>
          <w:szCs w:val="24"/>
        </w:rPr>
        <w:t>re</w:t>
      </w:r>
      <w:r w:rsidR="00A54538">
        <w:rPr>
          <w:rFonts w:ascii="Times New Roman" w:hAnsi="Times New Roman" w:cs="Times New Roman"/>
          <w:sz w:val="24"/>
          <w:szCs w:val="24"/>
        </w:rPr>
        <w:t xml:space="preserve">mos los casos, en </w:t>
      </w:r>
      <w:r w:rsidR="0014667A">
        <w:rPr>
          <w:rFonts w:ascii="Times New Roman" w:hAnsi="Times New Roman" w:cs="Times New Roman"/>
          <w:sz w:val="24"/>
          <w:szCs w:val="24"/>
        </w:rPr>
        <w:t>tres</w:t>
      </w:r>
      <w:r w:rsidR="00A54538">
        <w:rPr>
          <w:rFonts w:ascii="Times New Roman" w:hAnsi="Times New Roman" w:cs="Times New Roman"/>
          <w:sz w:val="24"/>
          <w:szCs w:val="24"/>
        </w:rPr>
        <w:t xml:space="preserve"> tópicos específicos: a) las propuestas formuladas por los gobiernos progresistas; b) los avances obtenidos</w:t>
      </w:r>
      <w:r w:rsidR="0014667A">
        <w:rPr>
          <w:rFonts w:ascii="Times New Roman" w:hAnsi="Times New Roman" w:cs="Times New Roman"/>
          <w:sz w:val="24"/>
          <w:szCs w:val="24"/>
        </w:rPr>
        <w:t xml:space="preserve"> y</w:t>
      </w:r>
      <w:r w:rsidR="00A54538">
        <w:rPr>
          <w:rFonts w:ascii="Times New Roman" w:hAnsi="Times New Roman" w:cs="Times New Roman"/>
          <w:sz w:val="24"/>
          <w:szCs w:val="24"/>
        </w:rPr>
        <w:t xml:space="preserve"> c) las alianzas o coaliciones.     </w:t>
      </w:r>
    </w:p>
    <w:p w:rsidR="00E97625" w:rsidRPr="00E97625" w:rsidRDefault="00A54538" w:rsidP="00A54538">
      <w:pPr>
        <w:spacing w:line="360" w:lineRule="auto"/>
        <w:ind w:left="360"/>
        <w:rPr>
          <w:rFonts w:ascii="Times New Roman" w:hAnsi="Times New Roman" w:cs="Times New Roman"/>
          <w:b/>
          <w:sz w:val="24"/>
          <w:szCs w:val="24"/>
        </w:rPr>
      </w:pPr>
      <w:r>
        <w:rPr>
          <w:rFonts w:ascii="Times New Roman" w:hAnsi="Times New Roman" w:cs="Times New Roman"/>
          <w:b/>
          <w:sz w:val="24"/>
          <w:szCs w:val="24"/>
        </w:rPr>
        <w:t xml:space="preserve">3.1. </w:t>
      </w:r>
      <w:r w:rsidR="00E97625" w:rsidRPr="00E97625">
        <w:rPr>
          <w:rFonts w:ascii="Times New Roman" w:hAnsi="Times New Roman" w:cs="Times New Roman"/>
          <w:b/>
          <w:sz w:val="24"/>
          <w:szCs w:val="24"/>
        </w:rPr>
        <w:t>ARGENTINA</w:t>
      </w:r>
    </w:p>
    <w:p w:rsidR="00E97625" w:rsidRDefault="00E97625" w:rsidP="008B27EE">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Tras una década marcada por la hegemonía neoliberal y bajo el mandato de Carlos Menem, la aplicación del recetario inspirado en el Consenso de Washington dejó una secuela de pobreza, desempleo y exclusión de grandes sectores de la población. Las secuelas derivadas de la aplicación del recetario neoliberal dejaron al final de la década del siglo XX unos índices de pobreza e indigencia muy altos, que según el INDEC se ubicaba en </w:t>
      </w:r>
      <w:r w:rsidRPr="0090017B">
        <w:rPr>
          <w:rFonts w:ascii="Times New Roman" w:hAnsi="Times New Roman" w:cs="Times New Roman"/>
          <w:sz w:val="24"/>
          <w:szCs w:val="24"/>
          <w:highlight w:val="lightGray"/>
          <w:rPrChange w:id="54" w:author="Claudia" w:date="2018-10-30T18:55:00Z">
            <w:rPr>
              <w:rFonts w:ascii="Times New Roman" w:hAnsi="Times New Roman" w:cs="Times New Roman"/>
              <w:sz w:val="24"/>
              <w:szCs w:val="24"/>
            </w:rPr>
          </w:rPrChange>
        </w:rPr>
        <w:t>un 60,8 en el segundo semestre del año 2003</w:t>
      </w:r>
      <w:commentRangeStart w:id="55"/>
      <w:r w:rsidRPr="00E97625">
        <w:rPr>
          <w:rFonts w:ascii="Times New Roman" w:hAnsi="Times New Roman" w:cs="Times New Roman"/>
          <w:sz w:val="24"/>
          <w:szCs w:val="24"/>
          <w:vertAlign w:val="superscript"/>
        </w:rPr>
        <w:footnoteReference w:id="1"/>
      </w:r>
      <w:commentRangeEnd w:id="55"/>
      <w:r w:rsidR="0090017B">
        <w:rPr>
          <w:rStyle w:val="Refdecomentario"/>
          <w:rFonts w:ascii="Times New Roman" w:eastAsia="SimSun" w:hAnsi="Times New Roman" w:cs="Mangal"/>
          <w:kern w:val="1"/>
          <w:lang w:val="es-UY" w:eastAsia="hi-IN" w:bidi="hi-IN"/>
        </w:rPr>
        <w:commentReference w:id="55"/>
      </w:r>
      <w:r w:rsidRPr="00E97625">
        <w:rPr>
          <w:rFonts w:ascii="Times New Roman" w:hAnsi="Times New Roman" w:cs="Times New Roman"/>
          <w:sz w:val="24"/>
          <w:szCs w:val="24"/>
        </w:rPr>
        <w:t xml:space="preserve"> y una tasa de desocupación en el 15.1%, </w:t>
      </w:r>
      <w:del w:id="56" w:author="Claudia" w:date="2018-10-30T17:50:00Z">
        <w:r w:rsidRPr="00E97625" w:rsidDel="00DB0D3F">
          <w:rPr>
            <w:rFonts w:ascii="Times New Roman" w:hAnsi="Times New Roman" w:cs="Times New Roman"/>
            <w:sz w:val="24"/>
            <w:szCs w:val="24"/>
          </w:rPr>
          <w:delText xml:space="preserve">el </w:delText>
        </w:r>
      </w:del>
      <w:ins w:id="57" w:author="Claudia" w:date="2018-10-30T17:50:00Z">
        <w:r w:rsidR="00DB0D3F">
          <w:rPr>
            <w:rFonts w:ascii="Times New Roman" w:hAnsi="Times New Roman" w:cs="Times New Roman"/>
            <w:sz w:val="24"/>
            <w:szCs w:val="24"/>
          </w:rPr>
          <w:t xml:space="preserve">la </w:t>
        </w:r>
      </w:ins>
      <w:r w:rsidRPr="00E97625">
        <w:rPr>
          <w:rFonts w:ascii="Times New Roman" w:hAnsi="Times New Roman" w:cs="Times New Roman"/>
          <w:sz w:val="24"/>
          <w:szCs w:val="24"/>
        </w:rPr>
        <w:t>cual siguió trepando hasta alcanzar un pico de casi el 20 % de desempleo abierto en el año 2002</w:t>
      </w:r>
      <w:ins w:id="58" w:author="Claudia" w:date="2018-10-30T17:50:00Z">
        <w:r w:rsidR="00DB0D3F">
          <w:rPr>
            <w:rFonts w:ascii="Times New Roman" w:hAnsi="Times New Roman" w:cs="Times New Roman"/>
            <w:sz w:val="24"/>
            <w:szCs w:val="24"/>
          </w:rPr>
          <w:t>,</w:t>
        </w:r>
      </w:ins>
      <w:r w:rsidRPr="00E97625">
        <w:rPr>
          <w:rFonts w:ascii="Times New Roman" w:hAnsi="Times New Roman" w:cs="Times New Roman"/>
          <w:sz w:val="24"/>
          <w:szCs w:val="24"/>
        </w:rPr>
        <w:t xml:space="preserve"> tal como lo ilustra el siguiente Cuadro.</w:t>
      </w:r>
    </w:p>
    <w:p w:rsidR="00496064" w:rsidRDefault="00496064" w:rsidP="002B775D">
      <w:pPr>
        <w:spacing w:after="0" w:line="240" w:lineRule="auto"/>
        <w:jc w:val="center"/>
        <w:rPr>
          <w:rFonts w:ascii="Times New Roman" w:hAnsi="Times New Roman" w:cs="Times New Roman"/>
          <w:b/>
          <w:sz w:val="20"/>
          <w:szCs w:val="20"/>
        </w:rPr>
      </w:pPr>
    </w:p>
    <w:p w:rsidR="00E97625" w:rsidRPr="0014667A" w:rsidRDefault="00E97625" w:rsidP="002B775D">
      <w:pPr>
        <w:spacing w:after="0" w:line="240" w:lineRule="auto"/>
        <w:jc w:val="center"/>
        <w:rPr>
          <w:rFonts w:ascii="Times New Roman" w:hAnsi="Times New Roman" w:cs="Times New Roman"/>
          <w:b/>
          <w:sz w:val="20"/>
          <w:szCs w:val="20"/>
        </w:rPr>
      </w:pPr>
      <w:r w:rsidRPr="0014667A">
        <w:rPr>
          <w:rFonts w:ascii="Times New Roman" w:hAnsi="Times New Roman" w:cs="Times New Roman"/>
          <w:b/>
          <w:sz w:val="20"/>
          <w:szCs w:val="20"/>
        </w:rPr>
        <w:t>Cuadro I. Tasa de desempleo 2000-</w:t>
      </w:r>
      <w:commentRangeStart w:id="59"/>
      <w:r w:rsidRPr="0014667A">
        <w:rPr>
          <w:rFonts w:ascii="Times New Roman" w:hAnsi="Times New Roman" w:cs="Times New Roman"/>
          <w:b/>
          <w:sz w:val="20"/>
          <w:szCs w:val="20"/>
        </w:rPr>
        <w:t>2015</w:t>
      </w:r>
      <w:commentRangeEnd w:id="59"/>
      <w:r w:rsidR="00DB0D3F">
        <w:rPr>
          <w:rStyle w:val="Refdecomentario"/>
          <w:rFonts w:ascii="Times New Roman" w:eastAsia="SimSun" w:hAnsi="Times New Roman" w:cs="Mangal"/>
          <w:kern w:val="1"/>
          <w:lang w:val="es-UY" w:eastAsia="hi-IN" w:bidi="hi-IN"/>
        </w:rPr>
        <w:commentReference w:id="59"/>
      </w:r>
    </w:p>
    <w:p w:rsidR="00E97625" w:rsidRPr="00E97625" w:rsidRDefault="00E97625" w:rsidP="002B775D">
      <w:pPr>
        <w:spacing w:after="0" w:line="240" w:lineRule="auto"/>
        <w:jc w:val="both"/>
        <w:rPr>
          <w:rFonts w:ascii="Times New Roman" w:hAnsi="Times New Roman" w:cs="Times New Roman"/>
          <w:sz w:val="24"/>
          <w:szCs w:val="24"/>
        </w:rPr>
      </w:pPr>
      <w:r w:rsidRPr="00E97625">
        <w:rPr>
          <w:rFonts w:ascii="Times New Roman" w:hAnsi="Times New Roman" w:cs="Times New Roman"/>
          <w:b/>
          <w:noProof/>
          <w:sz w:val="24"/>
          <w:szCs w:val="24"/>
          <w:lang w:val="es-AR" w:eastAsia="es-AR"/>
        </w:rPr>
        <w:drawing>
          <wp:inline distT="0" distB="0" distL="0" distR="0">
            <wp:extent cx="5399038" cy="1191025"/>
            <wp:effectExtent l="0" t="0" r="0" b="9525"/>
            <wp:docPr id="2" name="Imagen 2" descr="C:\Users\Christian\Desktop\CapturaDESEMAR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Christian\Desktop\CapturaDESEMARG.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40816" cy="1200241"/>
                    </a:xfrm>
                    <a:prstGeom prst="rect">
                      <a:avLst/>
                    </a:prstGeom>
                    <a:noFill/>
                    <a:ln>
                      <a:noFill/>
                    </a:ln>
                  </pic:spPr>
                </pic:pic>
              </a:graphicData>
            </a:graphic>
          </wp:inline>
        </w:drawing>
      </w:r>
    </w:p>
    <w:p w:rsidR="00E97625" w:rsidRDefault="00E97625" w:rsidP="002B775D">
      <w:pPr>
        <w:spacing w:after="0" w:line="240" w:lineRule="auto"/>
        <w:jc w:val="both"/>
        <w:rPr>
          <w:rFonts w:ascii="Times New Roman" w:hAnsi="Times New Roman" w:cs="Times New Roman"/>
          <w:sz w:val="20"/>
          <w:szCs w:val="20"/>
        </w:rPr>
      </w:pPr>
      <w:r w:rsidRPr="00E754F2">
        <w:rPr>
          <w:rFonts w:ascii="Times New Roman" w:hAnsi="Times New Roman" w:cs="Times New Roman"/>
          <w:sz w:val="20"/>
          <w:szCs w:val="20"/>
        </w:rPr>
        <w:t>Fuente: CEPALSTAT, 2017</w:t>
      </w:r>
    </w:p>
    <w:p w:rsidR="002B775D" w:rsidRPr="00E754F2" w:rsidRDefault="002B775D" w:rsidP="002B775D">
      <w:pPr>
        <w:spacing w:after="0" w:line="240" w:lineRule="auto"/>
        <w:jc w:val="both"/>
        <w:rPr>
          <w:rFonts w:ascii="Times New Roman" w:hAnsi="Times New Roman" w:cs="Times New Roman"/>
          <w:sz w:val="20"/>
          <w:szCs w:val="20"/>
        </w:rPr>
      </w:pPr>
    </w:p>
    <w:p w:rsidR="00E97625" w:rsidRDefault="00E97625" w:rsidP="008B27EE">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La crisis hizo eclosión a principios del presente siglo, durante el breve mandato de </w:t>
      </w:r>
      <w:proofErr w:type="spellStart"/>
      <w:r w:rsidRPr="00E97625">
        <w:rPr>
          <w:rFonts w:ascii="Times New Roman" w:hAnsi="Times New Roman" w:cs="Times New Roman"/>
          <w:sz w:val="24"/>
          <w:szCs w:val="24"/>
        </w:rPr>
        <w:t>De</w:t>
      </w:r>
      <w:proofErr w:type="spellEnd"/>
      <w:r w:rsidRPr="00E97625">
        <w:rPr>
          <w:rFonts w:ascii="Times New Roman" w:hAnsi="Times New Roman" w:cs="Times New Roman"/>
          <w:sz w:val="24"/>
          <w:szCs w:val="24"/>
        </w:rPr>
        <w:t xml:space="preserve"> la Rúa. Millones de ciudadanos manifestaron en las calles y obligaron al presidente a dimitir. Los movimientos sociales, particularmente las centrales obreras y el naciente movimiento de desocupados (MTD) irrumpieron con más fuerza en la escena pública</w:t>
      </w:r>
      <w:ins w:id="60" w:author="Claudia" w:date="2018-10-30T17:51:00Z">
        <w:r w:rsidR="00DB0D3F">
          <w:rPr>
            <w:rFonts w:ascii="Times New Roman" w:hAnsi="Times New Roman" w:cs="Times New Roman"/>
            <w:sz w:val="24"/>
            <w:szCs w:val="24"/>
          </w:rPr>
          <w:t>,</w:t>
        </w:r>
      </w:ins>
      <w:r w:rsidRPr="00E97625">
        <w:rPr>
          <w:rFonts w:ascii="Times New Roman" w:hAnsi="Times New Roman" w:cs="Times New Roman"/>
          <w:sz w:val="24"/>
          <w:szCs w:val="24"/>
        </w:rPr>
        <w:t xml:space="preserve"> dando lugar a un breve período de transición que culminó con la victoria electoral de una corriente renovadora del peronismo. Así, Néstor Kirchner (representante del ala progresista del Partido Justicialista) iniciaría una nueva etapa a partir del 2003 (</w:t>
      </w:r>
      <w:r w:rsidRPr="00E97625">
        <w:rPr>
          <w:rFonts w:ascii="Times New Roman" w:hAnsi="Times New Roman" w:cs="Times New Roman"/>
          <w:sz w:val="24"/>
          <w:szCs w:val="24"/>
          <w:lang w:val="es-UY"/>
        </w:rPr>
        <w:t>tras una transición corta que tuvo una alternancia en el ejercicio de la presidencia, inédita en la historia política argentina)</w:t>
      </w:r>
      <w:r w:rsidRPr="00E97625">
        <w:rPr>
          <w:rFonts w:ascii="Times New Roman" w:hAnsi="Times New Roman" w:cs="Times New Roman"/>
          <w:sz w:val="24"/>
          <w:szCs w:val="24"/>
        </w:rPr>
        <w:t xml:space="preserve"> con bases sociales fuertemente ancladas en los movimientos sociales que protagonizaron las movilizaciones del 2001. Las demandas y reivindicaciones sociales fueron atendidas por el nuevo gobierno que contó entonces con el respaldo de organizaciones sociales de larga trayectoria </w:t>
      </w:r>
      <w:ins w:id="61" w:author="Claudia" w:date="2018-10-30T17:52:00Z">
        <w:r w:rsidR="00DB0D3F">
          <w:rPr>
            <w:rFonts w:ascii="Times New Roman" w:hAnsi="Times New Roman" w:cs="Times New Roman"/>
            <w:sz w:val="24"/>
            <w:szCs w:val="24"/>
          </w:rPr>
          <w:t xml:space="preserve">como la </w:t>
        </w:r>
      </w:ins>
      <w:ins w:id="62" w:author="Claudia" w:date="2018-10-30T17:51:00Z">
        <w:r w:rsidR="00DB0D3F">
          <w:rPr>
            <w:rFonts w:ascii="Times New Roman" w:hAnsi="Times New Roman" w:cs="Times New Roman"/>
            <w:sz w:val="24"/>
            <w:szCs w:val="24"/>
          </w:rPr>
          <w:t xml:space="preserve">Confederación General del Trabajo </w:t>
        </w:r>
      </w:ins>
      <w:r w:rsidRPr="00E97625">
        <w:rPr>
          <w:rFonts w:ascii="Times New Roman" w:hAnsi="Times New Roman" w:cs="Times New Roman"/>
          <w:sz w:val="24"/>
          <w:szCs w:val="24"/>
        </w:rPr>
        <w:t xml:space="preserve">(CGT), </w:t>
      </w:r>
      <w:ins w:id="63" w:author="Claudia" w:date="2018-10-30T17:52:00Z">
        <w:r w:rsidR="00DB0D3F">
          <w:rPr>
            <w:rFonts w:ascii="Times New Roman" w:hAnsi="Times New Roman" w:cs="Times New Roman"/>
            <w:sz w:val="24"/>
            <w:szCs w:val="24"/>
          </w:rPr>
          <w:t xml:space="preserve">otras </w:t>
        </w:r>
      </w:ins>
      <w:r w:rsidRPr="00E97625">
        <w:rPr>
          <w:rFonts w:ascii="Times New Roman" w:hAnsi="Times New Roman" w:cs="Times New Roman"/>
          <w:sz w:val="24"/>
          <w:szCs w:val="24"/>
        </w:rPr>
        <w:t>de reciente formación (</w:t>
      </w:r>
      <w:ins w:id="64" w:author="Claudia" w:date="2018-10-30T17:52:00Z">
        <w:r w:rsidR="00980F5B">
          <w:rPr>
            <w:rFonts w:ascii="Times New Roman" w:hAnsi="Times New Roman" w:cs="Times New Roman"/>
            <w:sz w:val="24"/>
            <w:szCs w:val="24"/>
          </w:rPr>
          <w:t>Central de Trabajadores Ar</w:t>
        </w:r>
      </w:ins>
      <w:ins w:id="65" w:author="Claudia" w:date="2018-10-30T17:53:00Z">
        <w:r w:rsidR="00980F5B">
          <w:rPr>
            <w:rFonts w:ascii="Times New Roman" w:hAnsi="Times New Roman" w:cs="Times New Roman"/>
            <w:sz w:val="24"/>
            <w:szCs w:val="24"/>
          </w:rPr>
          <w:t>g</w:t>
        </w:r>
      </w:ins>
      <w:ins w:id="66" w:author="Claudia" w:date="2018-10-30T17:52:00Z">
        <w:r w:rsidR="00980F5B">
          <w:rPr>
            <w:rFonts w:ascii="Times New Roman" w:hAnsi="Times New Roman" w:cs="Times New Roman"/>
            <w:sz w:val="24"/>
            <w:szCs w:val="24"/>
          </w:rPr>
          <w:t>entinos</w:t>
        </w:r>
      </w:ins>
      <w:ins w:id="67" w:author="Claudia" w:date="2018-10-30T17:53:00Z">
        <w:r w:rsidR="00980F5B">
          <w:rPr>
            <w:rFonts w:ascii="Times New Roman" w:hAnsi="Times New Roman" w:cs="Times New Roman"/>
            <w:sz w:val="24"/>
            <w:szCs w:val="24"/>
          </w:rPr>
          <w:t xml:space="preserve">, </w:t>
        </w:r>
      </w:ins>
      <w:r w:rsidRPr="00E97625">
        <w:rPr>
          <w:rFonts w:ascii="Times New Roman" w:hAnsi="Times New Roman" w:cs="Times New Roman"/>
          <w:sz w:val="24"/>
          <w:szCs w:val="24"/>
        </w:rPr>
        <w:t xml:space="preserve">CTA, </w:t>
      </w:r>
      <w:commentRangeStart w:id="68"/>
      <w:r w:rsidRPr="00980F5B">
        <w:rPr>
          <w:rFonts w:ascii="Times New Roman" w:hAnsi="Times New Roman" w:cs="Times New Roman"/>
          <w:sz w:val="24"/>
          <w:szCs w:val="24"/>
          <w:highlight w:val="lightGray"/>
          <w:rPrChange w:id="69" w:author="Claudia" w:date="2018-10-30T17:53:00Z">
            <w:rPr>
              <w:rFonts w:ascii="Times New Roman" w:hAnsi="Times New Roman" w:cs="Times New Roman"/>
              <w:sz w:val="24"/>
              <w:szCs w:val="24"/>
            </w:rPr>
          </w:rPrChange>
        </w:rPr>
        <w:t>MTD</w:t>
      </w:r>
      <w:commentRangeEnd w:id="68"/>
      <w:r w:rsidR="00980F5B">
        <w:rPr>
          <w:rStyle w:val="Refdecomentario"/>
          <w:rFonts w:ascii="Times New Roman" w:eastAsia="SimSun" w:hAnsi="Times New Roman" w:cs="Mangal"/>
          <w:kern w:val="1"/>
          <w:lang w:val="es-UY" w:eastAsia="hi-IN" w:bidi="hi-IN"/>
        </w:rPr>
        <w:commentReference w:id="68"/>
      </w:r>
      <w:r w:rsidRPr="00E97625">
        <w:rPr>
          <w:rFonts w:ascii="Times New Roman" w:hAnsi="Times New Roman" w:cs="Times New Roman"/>
          <w:sz w:val="24"/>
          <w:szCs w:val="24"/>
        </w:rPr>
        <w:t xml:space="preserve">, Asambleas Barriales, entre otros) y organizaciones de defensa de los derechos humanos. Planes masivos como el Jefes y Jefas de Hogar (iniciado durante el breve mandato </w:t>
      </w:r>
      <w:ins w:id="70" w:author="Claudia" w:date="2018-10-30T17:55:00Z">
        <w:r w:rsidR="00980F5B">
          <w:rPr>
            <w:rFonts w:ascii="Times New Roman" w:hAnsi="Times New Roman" w:cs="Times New Roman"/>
            <w:sz w:val="24"/>
            <w:szCs w:val="24"/>
          </w:rPr>
          <w:t xml:space="preserve">presidencial </w:t>
        </w:r>
      </w:ins>
      <w:r w:rsidRPr="00E97625">
        <w:rPr>
          <w:rFonts w:ascii="Times New Roman" w:hAnsi="Times New Roman" w:cs="Times New Roman"/>
          <w:sz w:val="24"/>
          <w:szCs w:val="24"/>
        </w:rPr>
        <w:t xml:space="preserve">de </w:t>
      </w:r>
      <w:r w:rsidRPr="00980F5B">
        <w:rPr>
          <w:rFonts w:ascii="Times New Roman" w:hAnsi="Times New Roman" w:cs="Times New Roman"/>
          <w:sz w:val="24"/>
          <w:szCs w:val="24"/>
          <w:highlight w:val="lightGray"/>
          <w:rPrChange w:id="71" w:author="Claudia" w:date="2018-10-30T17:55:00Z">
            <w:rPr>
              <w:rFonts w:ascii="Times New Roman" w:hAnsi="Times New Roman" w:cs="Times New Roman"/>
              <w:sz w:val="24"/>
              <w:szCs w:val="24"/>
            </w:rPr>
          </w:rPrChange>
        </w:rPr>
        <w:t>Duhalde</w:t>
      </w:r>
      <w:r w:rsidRPr="00E97625">
        <w:rPr>
          <w:rFonts w:ascii="Times New Roman" w:hAnsi="Times New Roman" w:cs="Times New Roman"/>
          <w:sz w:val="24"/>
          <w:szCs w:val="24"/>
        </w:rPr>
        <w:t>) a modo de ejemplo</w:t>
      </w:r>
      <w:ins w:id="72" w:author="Claudia" w:date="2018-10-30T17:55:00Z">
        <w:r w:rsidR="00980F5B">
          <w:rPr>
            <w:rFonts w:ascii="Times New Roman" w:hAnsi="Times New Roman" w:cs="Times New Roman"/>
            <w:sz w:val="24"/>
            <w:szCs w:val="24"/>
          </w:rPr>
          <w:t>,</w:t>
        </w:r>
      </w:ins>
      <w:r w:rsidRPr="00E97625">
        <w:rPr>
          <w:rFonts w:ascii="Times New Roman" w:hAnsi="Times New Roman" w:cs="Times New Roman"/>
          <w:sz w:val="24"/>
          <w:szCs w:val="24"/>
        </w:rPr>
        <w:t xml:space="preserve"> y la </w:t>
      </w:r>
      <w:r w:rsidRPr="00980F5B">
        <w:rPr>
          <w:rFonts w:ascii="Times New Roman" w:hAnsi="Times New Roman" w:cs="Times New Roman"/>
          <w:sz w:val="24"/>
          <w:szCs w:val="24"/>
          <w:highlight w:val="lightGray"/>
          <w:rPrChange w:id="73" w:author="Claudia" w:date="2018-10-30T17:55:00Z">
            <w:rPr>
              <w:rFonts w:ascii="Times New Roman" w:hAnsi="Times New Roman" w:cs="Times New Roman"/>
              <w:sz w:val="24"/>
              <w:szCs w:val="24"/>
            </w:rPr>
          </w:rPrChange>
        </w:rPr>
        <w:t xml:space="preserve">Asignación Universal por </w:t>
      </w:r>
      <w:commentRangeStart w:id="74"/>
      <w:r w:rsidRPr="00980F5B">
        <w:rPr>
          <w:rFonts w:ascii="Times New Roman" w:hAnsi="Times New Roman" w:cs="Times New Roman"/>
          <w:sz w:val="24"/>
          <w:szCs w:val="24"/>
          <w:highlight w:val="lightGray"/>
          <w:rPrChange w:id="75" w:author="Claudia" w:date="2018-10-30T17:55:00Z">
            <w:rPr>
              <w:rFonts w:ascii="Times New Roman" w:hAnsi="Times New Roman" w:cs="Times New Roman"/>
              <w:sz w:val="24"/>
              <w:szCs w:val="24"/>
            </w:rPr>
          </w:rPrChange>
        </w:rPr>
        <w:t>Hijo</w:t>
      </w:r>
      <w:commentRangeEnd w:id="74"/>
      <w:r w:rsidR="00980F5B">
        <w:rPr>
          <w:rStyle w:val="Refdecomentario"/>
          <w:rFonts w:ascii="Times New Roman" w:eastAsia="SimSun" w:hAnsi="Times New Roman" w:cs="Mangal"/>
          <w:kern w:val="1"/>
          <w:lang w:val="es-UY" w:eastAsia="hi-IN" w:bidi="hi-IN"/>
        </w:rPr>
        <w:commentReference w:id="74"/>
      </w:r>
      <w:r w:rsidRPr="00E97625">
        <w:rPr>
          <w:rFonts w:ascii="Times New Roman" w:hAnsi="Times New Roman" w:cs="Times New Roman"/>
          <w:sz w:val="24"/>
          <w:szCs w:val="24"/>
        </w:rPr>
        <w:t xml:space="preserve"> </w:t>
      </w:r>
      <w:r w:rsidR="00550392">
        <w:rPr>
          <w:rFonts w:ascii="Times New Roman" w:hAnsi="Times New Roman" w:cs="Times New Roman"/>
          <w:sz w:val="24"/>
          <w:szCs w:val="24"/>
        </w:rPr>
        <w:t xml:space="preserve">(años más tarde) </w:t>
      </w:r>
      <w:r w:rsidRPr="00E97625">
        <w:rPr>
          <w:rFonts w:ascii="Times New Roman" w:hAnsi="Times New Roman" w:cs="Times New Roman"/>
          <w:sz w:val="24"/>
          <w:szCs w:val="24"/>
        </w:rPr>
        <w:t>entre otros programas</w:t>
      </w:r>
      <w:r w:rsidR="00550392">
        <w:rPr>
          <w:rFonts w:ascii="Times New Roman" w:hAnsi="Times New Roman" w:cs="Times New Roman"/>
          <w:sz w:val="24"/>
          <w:szCs w:val="24"/>
        </w:rPr>
        <w:t>,</w:t>
      </w:r>
      <w:r w:rsidRPr="00E97625">
        <w:rPr>
          <w:rFonts w:ascii="Times New Roman" w:hAnsi="Times New Roman" w:cs="Times New Roman"/>
          <w:sz w:val="24"/>
          <w:szCs w:val="24"/>
        </w:rPr>
        <w:t xml:space="preserve"> fueron instrumentados a fin de reducir los altos niveles de pobreza, continuando durante más de una década la reconstrucción del sistema de protección social, desmantelado en la década de los </w:t>
      </w:r>
      <w:proofErr w:type="gramStart"/>
      <w:r w:rsidRPr="00E97625">
        <w:rPr>
          <w:rFonts w:ascii="Times New Roman" w:hAnsi="Times New Roman" w:cs="Times New Roman"/>
          <w:sz w:val="24"/>
          <w:szCs w:val="24"/>
        </w:rPr>
        <w:t>noventas</w:t>
      </w:r>
      <w:proofErr w:type="gramEnd"/>
      <w:r w:rsidRPr="00E97625">
        <w:rPr>
          <w:rFonts w:ascii="Times New Roman" w:hAnsi="Times New Roman" w:cs="Times New Roman"/>
          <w:sz w:val="24"/>
          <w:szCs w:val="24"/>
        </w:rPr>
        <w:t xml:space="preserve">. Más allá de las peculiaridades de las alianzas tejidas entre el </w:t>
      </w:r>
      <w:proofErr w:type="spellStart"/>
      <w:r w:rsidRPr="00E97625">
        <w:rPr>
          <w:rFonts w:ascii="Times New Roman" w:hAnsi="Times New Roman" w:cs="Times New Roman"/>
          <w:sz w:val="24"/>
          <w:szCs w:val="24"/>
        </w:rPr>
        <w:t>kirchnerismo</w:t>
      </w:r>
      <w:proofErr w:type="spellEnd"/>
      <w:r w:rsidRPr="00E97625">
        <w:rPr>
          <w:rFonts w:ascii="Times New Roman" w:hAnsi="Times New Roman" w:cs="Times New Roman"/>
          <w:sz w:val="24"/>
          <w:szCs w:val="24"/>
        </w:rPr>
        <w:t xml:space="preserve"> y los actores sociales más fuertes, lo cierto es que se registraron avances importantes en el campo de la protección social.</w:t>
      </w:r>
    </w:p>
    <w:p w:rsidR="00E97625" w:rsidRPr="00A54538" w:rsidRDefault="00A54538" w:rsidP="008B27EE">
      <w:pPr>
        <w:spacing w:after="0" w:line="480" w:lineRule="auto"/>
        <w:ind w:left="360"/>
        <w:jc w:val="both"/>
        <w:rPr>
          <w:rFonts w:ascii="Times New Roman" w:hAnsi="Times New Roman" w:cs="Times New Roman"/>
          <w:sz w:val="24"/>
          <w:szCs w:val="24"/>
        </w:rPr>
      </w:pPr>
      <w:r w:rsidRPr="00A54538">
        <w:rPr>
          <w:rFonts w:ascii="Times New Roman" w:hAnsi="Times New Roman" w:cs="Times New Roman"/>
          <w:sz w:val="24"/>
          <w:szCs w:val="24"/>
        </w:rPr>
        <w:t xml:space="preserve">a) </w:t>
      </w:r>
      <w:r w:rsidR="00E97625" w:rsidRPr="00A54538">
        <w:rPr>
          <w:rFonts w:ascii="Times New Roman" w:hAnsi="Times New Roman" w:cs="Times New Roman"/>
          <w:sz w:val="24"/>
          <w:szCs w:val="24"/>
        </w:rPr>
        <w:t xml:space="preserve">Las propuestas del </w:t>
      </w:r>
      <w:proofErr w:type="spellStart"/>
      <w:r w:rsidR="00E97625" w:rsidRPr="00A54538">
        <w:rPr>
          <w:rFonts w:ascii="Times New Roman" w:hAnsi="Times New Roman" w:cs="Times New Roman"/>
          <w:i/>
          <w:sz w:val="24"/>
          <w:szCs w:val="24"/>
        </w:rPr>
        <w:t>kirchnerismo</w:t>
      </w:r>
      <w:proofErr w:type="spellEnd"/>
    </w:p>
    <w:p w:rsidR="00E97625" w:rsidRDefault="00E97625" w:rsidP="008B27EE">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Repasando las propuestas programáticas del </w:t>
      </w:r>
      <w:proofErr w:type="spellStart"/>
      <w:r w:rsidRPr="0066552F">
        <w:rPr>
          <w:rFonts w:ascii="Times New Roman" w:hAnsi="Times New Roman" w:cs="Times New Roman"/>
          <w:i/>
          <w:sz w:val="24"/>
          <w:szCs w:val="24"/>
        </w:rPr>
        <w:t>kirchnerismo</w:t>
      </w:r>
      <w:proofErr w:type="spellEnd"/>
      <w:r w:rsidRPr="00E97625">
        <w:rPr>
          <w:rFonts w:ascii="Times New Roman" w:hAnsi="Times New Roman" w:cs="Times New Roman"/>
          <w:sz w:val="24"/>
          <w:szCs w:val="24"/>
        </w:rPr>
        <w:t xml:space="preserve"> se observa una significativa coincidencia entre las decisiones de política pública -en varios planos- con su plataforma programática propuesta en la campaña electoral. Ciertamente con el objetivo de recuperar en cierto modo las pérdidas producidas por la década menemista, así como afrontando una de las peores crisis múltiples de Argentina, Kirchner apostó fuertemente a revitalizar la economía local, introducir fuertes mecanismos regulatorios y robustecer la intervención estatal</w:t>
      </w:r>
      <w:ins w:id="76" w:author="Claudia" w:date="2018-10-30T17:57:00Z">
        <w:r w:rsidR="00980F5B">
          <w:rPr>
            <w:rFonts w:ascii="Times New Roman" w:hAnsi="Times New Roman" w:cs="Times New Roman"/>
            <w:sz w:val="24"/>
            <w:szCs w:val="24"/>
          </w:rPr>
          <w:t>,</w:t>
        </w:r>
      </w:ins>
      <w:r w:rsidRPr="00E97625">
        <w:rPr>
          <w:rFonts w:ascii="Times New Roman" w:hAnsi="Times New Roman" w:cs="Times New Roman"/>
          <w:sz w:val="24"/>
          <w:szCs w:val="24"/>
        </w:rPr>
        <w:t xml:space="preserve"> al punto de nacionalizar algunas empresas en sectores clave de la producción. La década de los noventas se </w:t>
      </w:r>
      <w:ins w:id="77" w:author="Claudia" w:date="2018-10-30T17:57:00Z">
        <w:r w:rsidR="00980F5B">
          <w:rPr>
            <w:rFonts w:ascii="Times New Roman" w:hAnsi="Times New Roman" w:cs="Times New Roman"/>
            <w:sz w:val="24"/>
            <w:szCs w:val="24"/>
          </w:rPr>
          <w:t>había caracterizado</w:t>
        </w:r>
      </w:ins>
      <w:del w:id="78" w:author="Claudia" w:date="2018-10-30T17:57:00Z">
        <w:r w:rsidRPr="00E97625" w:rsidDel="00980F5B">
          <w:rPr>
            <w:rFonts w:ascii="Times New Roman" w:hAnsi="Times New Roman" w:cs="Times New Roman"/>
            <w:sz w:val="24"/>
            <w:szCs w:val="24"/>
          </w:rPr>
          <w:delText>caracterizó</w:delText>
        </w:r>
      </w:del>
      <w:r w:rsidRPr="00E97625">
        <w:rPr>
          <w:rFonts w:ascii="Times New Roman" w:hAnsi="Times New Roman" w:cs="Times New Roman"/>
          <w:sz w:val="24"/>
          <w:szCs w:val="24"/>
        </w:rPr>
        <w:t>, como en buena parte de la región, por las reformas pro mercado, siendo un caso ejemplar</w:t>
      </w:r>
      <w:del w:id="79" w:author="Claudia" w:date="2018-10-30T17:57:00Z">
        <w:r w:rsidRPr="00E97625" w:rsidDel="00980F5B">
          <w:rPr>
            <w:rFonts w:ascii="Times New Roman" w:hAnsi="Times New Roman" w:cs="Times New Roman"/>
            <w:sz w:val="24"/>
            <w:szCs w:val="24"/>
          </w:rPr>
          <w:delText>,</w:delText>
        </w:r>
      </w:del>
      <w:r w:rsidRPr="00E97625">
        <w:rPr>
          <w:rFonts w:ascii="Times New Roman" w:hAnsi="Times New Roman" w:cs="Times New Roman"/>
          <w:sz w:val="24"/>
          <w:szCs w:val="24"/>
        </w:rPr>
        <w:t xml:space="preserve"> la reforma de la seguridad social (1993-94), que sustituyó los esquemas anteriores por la privatización parcial, la implantación del </w:t>
      </w:r>
      <w:r w:rsidRPr="00980F5B">
        <w:rPr>
          <w:rFonts w:ascii="Times New Roman" w:hAnsi="Times New Roman" w:cs="Times New Roman"/>
          <w:sz w:val="24"/>
          <w:szCs w:val="24"/>
          <w:highlight w:val="lightGray"/>
          <w:rPrChange w:id="80" w:author="Claudia" w:date="2018-10-30T17:58:00Z">
            <w:rPr>
              <w:rFonts w:ascii="Times New Roman" w:hAnsi="Times New Roman" w:cs="Times New Roman"/>
              <w:sz w:val="24"/>
              <w:szCs w:val="24"/>
            </w:rPr>
          </w:rPrChange>
        </w:rPr>
        <w:t xml:space="preserve">régimen </w:t>
      </w:r>
      <w:commentRangeStart w:id="81"/>
      <w:r w:rsidRPr="00980F5B">
        <w:rPr>
          <w:rFonts w:ascii="Times New Roman" w:hAnsi="Times New Roman" w:cs="Times New Roman"/>
          <w:sz w:val="24"/>
          <w:szCs w:val="24"/>
          <w:highlight w:val="lightGray"/>
          <w:rPrChange w:id="82" w:author="Claudia" w:date="2018-10-30T17:58:00Z">
            <w:rPr>
              <w:rFonts w:ascii="Times New Roman" w:hAnsi="Times New Roman" w:cs="Times New Roman"/>
              <w:sz w:val="24"/>
              <w:szCs w:val="24"/>
            </w:rPr>
          </w:rPrChange>
        </w:rPr>
        <w:t>mixto</w:t>
      </w:r>
      <w:commentRangeEnd w:id="81"/>
      <w:r w:rsidR="00980F5B">
        <w:rPr>
          <w:rStyle w:val="Refdecomentario"/>
          <w:rFonts w:ascii="Times New Roman" w:eastAsia="SimSun" w:hAnsi="Times New Roman" w:cs="Mangal"/>
          <w:kern w:val="1"/>
          <w:lang w:val="es-UY" w:eastAsia="hi-IN" w:bidi="hi-IN"/>
        </w:rPr>
        <w:commentReference w:id="81"/>
      </w:r>
      <w:r w:rsidRPr="00E97625">
        <w:rPr>
          <w:rFonts w:ascii="Times New Roman" w:hAnsi="Times New Roman" w:cs="Times New Roman"/>
          <w:sz w:val="24"/>
          <w:szCs w:val="24"/>
        </w:rPr>
        <w:t xml:space="preserve"> e incentivó, en consecuencia, la capitalización individual (</w:t>
      </w:r>
      <w:proofErr w:type="spellStart"/>
      <w:r w:rsidRPr="00E97625">
        <w:rPr>
          <w:rFonts w:ascii="Times New Roman" w:hAnsi="Times New Roman" w:cs="Times New Roman"/>
          <w:sz w:val="24"/>
          <w:szCs w:val="24"/>
        </w:rPr>
        <w:t>Danani</w:t>
      </w:r>
      <w:proofErr w:type="spellEnd"/>
      <w:r w:rsidRPr="00E97625">
        <w:rPr>
          <w:rFonts w:ascii="Times New Roman" w:hAnsi="Times New Roman" w:cs="Times New Roman"/>
          <w:sz w:val="24"/>
          <w:szCs w:val="24"/>
        </w:rPr>
        <w:t xml:space="preserve">, 2016). </w:t>
      </w:r>
      <w:r w:rsidR="00550392">
        <w:rPr>
          <w:rFonts w:ascii="Times New Roman" w:hAnsi="Times New Roman" w:cs="Times New Roman"/>
          <w:sz w:val="24"/>
          <w:szCs w:val="24"/>
        </w:rPr>
        <w:t>Por otro lado, la</w:t>
      </w:r>
      <w:r w:rsidRPr="00E97625">
        <w:rPr>
          <w:rFonts w:ascii="Times New Roman" w:hAnsi="Times New Roman" w:cs="Times New Roman"/>
          <w:sz w:val="24"/>
          <w:szCs w:val="24"/>
        </w:rPr>
        <w:t xml:space="preserve"> estrategia del </w:t>
      </w:r>
      <w:proofErr w:type="spellStart"/>
      <w:r w:rsidRPr="00E97625">
        <w:rPr>
          <w:rFonts w:ascii="Times New Roman" w:hAnsi="Times New Roman" w:cs="Times New Roman"/>
          <w:sz w:val="24"/>
          <w:szCs w:val="24"/>
        </w:rPr>
        <w:t>kirchnerismo</w:t>
      </w:r>
      <w:proofErr w:type="spellEnd"/>
      <w:r w:rsidRPr="00E97625">
        <w:rPr>
          <w:rFonts w:ascii="Times New Roman" w:hAnsi="Times New Roman" w:cs="Times New Roman"/>
          <w:sz w:val="24"/>
          <w:szCs w:val="24"/>
        </w:rPr>
        <w:t xml:space="preserve"> se sostuvo en la intencionalidad explícita de reconstrucción de un modelo económico de inspiración keynesiano, al decir de Vilas (2016)</w:t>
      </w:r>
      <w:r w:rsidR="0066552F">
        <w:rPr>
          <w:rFonts w:ascii="Times New Roman" w:hAnsi="Times New Roman" w:cs="Times New Roman"/>
          <w:sz w:val="24"/>
          <w:szCs w:val="24"/>
        </w:rPr>
        <w:t>.</w:t>
      </w:r>
      <w:ins w:id="83" w:author="Claudia" w:date="2018-10-30T17:59:00Z">
        <w:r w:rsidR="00980F5B">
          <w:rPr>
            <w:rFonts w:ascii="Times New Roman" w:hAnsi="Times New Roman" w:cs="Times New Roman"/>
            <w:sz w:val="24"/>
            <w:szCs w:val="24"/>
          </w:rPr>
          <w:t xml:space="preserve"> </w:t>
        </w:r>
      </w:ins>
      <w:r w:rsidRPr="00E97625">
        <w:rPr>
          <w:rFonts w:ascii="Times New Roman" w:hAnsi="Times New Roman" w:cs="Times New Roman"/>
          <w:sz w:val="24"/>
          <w:szCs w:val="24"/>
        </w:rPr>
        <w:t xml:space="preserve">En este sentido, la práctica en materia del manejo de las variables macroeconómicas reflejó de alguna manera la revitalización de un capitalismo nacional más </w:t>
      </w:r>
      <w:proofErr w:type="gramStart"/>
      <w:r w:rsidRPr="00E97625">
        <w:rPr>
          <w:rFonts w:ascii="Times New Roman" w:hAnsi="Times New Roman" w:cs="Times New Roman"/>
          <w:sz w:val="24"/>
          <w:szCs w:val="24"/>
        </w:rPr>
        <w:t>dirigido</w:t>
      </w:r>
      <w:proofErr w:type="gramEnd"/>
      <w:r w:rsidRPr="00E97625">
        <w:rPr>
          <w:rFonts w:ascii="Times New Roman" w:hAnsi="Times New Roman" w:cs="Times New Roman"/>
          <w:sz w:val="24"/>
          <w:szCs w:val="24"/>
        </w:rPr>
        <w:t xml:space="preserve"> que </w:t>
      </w:r>
      <w:proofErr w:type="spellStart"/>
      <w:r w:rsidRPr="00E97625">
        <w:rPr>
          <w:rFonts w:ascii="Times New Roman" w:hAnsi="Times New Roman" w:cs="Times New Roman"/>
          <w:sz w:val="24"/>
          <w:szCs w:val="24"/>
        </w:rPr>
        <w:t>regulado</w:t>
      </w:r>
      <w:del w:id="84" w:author="Claudia" w:date="2018-10-30T18:00:00Z">
        <w:r w:rsidRPr="00E97625" w:rsidDel="00980F5B">
          <w:rPr>
            <w:rFonts w:ascii="Times New Roman" w:hAnsi="Times New Roman" w:cs="Times New Roman"/>
            <w:sz w:val="24"/>
            <w:szCs w:val="24"/>
          </w:rPr>
          <w:delText xml:space="preserve"> (Vilas, 2016)</w:delText>
        </w:r>
      </w:del>
      <w:ins w:id="85" w:author="Claudia" w:date="2018-10-30T18:00:00Z">
        <w:r w:rsidR="00980F5B">
          <w:rPr>
            <w:rFonts w:ascii="Times New Roman" w:hAnsi="Times New Roman" w:cs="Times New Roman"/>
            <w:sz w:val="24"/>
            <w:szCs w:val="24"/>
          </w:rPr>
          <w:t>según</w:t>
        </w:r>
        <w:proofErr w:type="spellEnd"/>
        <w:r w:rsidR="00980F5B">
          <w:rPr>
            <w:rFonts w:ascii="Times New Roman" w:hAnsi="Times New Roman" w:cs="Times New Roman"/>
            <w:sz w:val="24"/>
            <w:szCs w:val="24"/>
          </w:rPr>
          <w:t xml:space="preserve"> el mismo autor</w:t>
        </w:r>
      </w:ins>
      <w:r w:rsidRPr="00E97625">
        <w:rPr>
          <w:rFonts w:ascii="Times New Roman" w:hAnsi="Times New Roman" w:cs="Times New Roman"/>
          <w:sz w:val="24"/>
          <w:szCs w:val="24"/>
        </w:rPr>
        <w:t xml:space="preserve">, aun cuando las reformas sociales aplicadas pusieron de relieve la segunda modalidad, evidenciada en las arenas de políticas laborales y previsionales. </w:t>
      </w:r>
    </w:p>
    <w:p w:rsidR="00E97625" w:rsidRPr="00A54538" w:rsidRDefault="00A54538" w:rsidP="008B27EE">
      <w:pPr>
        <w:spacing w:after="0" w:line="480" w:lineRule="auto"/>
        <w:ind w:left="720"/>
        <w:jc w:val="both"/>
        <w:rPr>
          <w:rFonts w:ascii="Times New Roman" w:hAnsi="Times New Roman" w:cs="Times New Roman"/>
          <w:sz w:val="24"/>
          <w:szCs w:val="24"/>
        </w:rPr>
      </w:pPr>
      <w:r w:rsidRPr="00A54538">
        <w:rPr>
          <w:rFonts w:ascii="Times New Roman" w:hAnsi="Times New Roman" w:cs="Times New Roman"/>
          <w:sz w:val="24"/>
          <w:szCs w:val="24"/>
        </w:rPr>
        <w:t>b)</w:t>
      </w:r>
      <w:r w:rsidR="00F001AA">
        <w:rPr>
          <w:rFonts w:ascii="Times New Roman" w:hAnsi="Times New Roman" w:cs="Times New Roman"/>
          <w:sz w:val="24"/>
          <w:szCs w:val="24"/>
        </w:rPr>
        <w:t xml:space="preserve"> </w:t>
      </w:r>
      <w:r w:rsidR="00E97625" w:rsidRPr="00A54538">
        <w:rPr>
          <w:rFonts w:ascii="Times New Roman" w:hAnsi="Times New Roman" w:cs="Times New Roman"/>
          <w:sz w:val="24"/>
          <w:szCs w:val="24"/>
        </w:rPr>
        <w:t xml:space="preserve">Los logros del gobierno </w:t>
      </w:r>
      <w:r w:rsidR="00E97625" w:rsidRPr="00550392">
        <w:rPr>
          <w:rFonts w:ascii="Times New Roman" w:hAnsi="Times New Roman" w:cs="Times New Roman"/>
          <w:i/>
          <w:sz w:val="24"/>
          <w:szCs w:val="24"/>
        </w:rPr>
        <w:t>K</w:t>
      </w:r>
      <w:r w:rsidR="00E97625" w:rsidRPr="00A54538">
        <w:rPr>
          <w:rFonts w:ascii="Times New Roman" w:hAnsi="Times New Roman" w:cs="Times New Roman"/>
          <w:sz w:val="24"/>
          <w:szCs w:val="24"/>
        </w:rPr>
        <w:t xml:space="preserve"> (2003-2015)</w:t>
      </w:r>
    </w:p>
    <w:p w:rsidR="00E97625" w:rsidRPr="00E97625" w:rsidRDefault="00E97625" w:rsidP="008B27EE">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En primer lugar, deben destacarse los cambios realizados en la arena de la seguridad social: </w:t>
      </w:r>
      <w:commentRangeStart w:id="86"/>
      <w:r w:rsidRPr="00E97625">
        <w:rPr>
          <w:rFonts w:ascii="Times New Roman" w:hAnsi="Times New Roman" w:cs="Times New Roman"/>
          <w:sz w:val="24"/>
          <w:szCs w:val="24"/>
        </w:rPr>
        <w:t>ampliación de la cobertura, nacionalización de las Administradoras de Fondos de Jubilaciones y Pensiones</w:t>
      </w:r>
      <w:r w:rsidR="002B775D" w:rsidRPr="00E97625">
        <w:rPr>
          <w:rFonts w:ascii="Times New Roman" w:hAnsi="Times New Roman" w:cs="Times New Roman"/>
          <w:sz w:val="24"/>
          <w:szCs w:val="24"/>
        </w:rPr>
        <w:t>, AFJP</w:t>
      </w:r>
      <w:r w:rsidRPr="00E97625">
        <w:rPr>
          <w:rFonts w:ascii="Times New Roman" w:hAnsi="Times New Roman" w:cs="Times New Roman"/>
          <w:sz w:val="24"/>
          <w:szCs w:val="24"/>
        </w:rPr>
        <w:t xml:space="preserve"> (2008), es decir la eliminación del sistema mixto y su reemplazo por el sistema histórico fundado en los principios de universalidad, solidaridad inter generacional y sostenibilidad financiera, </w:t>
      </w:r>
      <w:r w:rsidR="00550392">
        <w:rPr>
          <w:rFonts w:ascii="Times New Roman" w:hAnsi="Times New Roman" w:cs="Times New Roman"/>
          <w:sz w:val="24"/>
          <w:szCs w:val="24"/>
        </w:rPr>
        <w:t xml:space="preserve">con </w:t>
      </w:r>
      <w:r w:rsidRPr="00E97625">
        <w:rPr>
          <w:rFonts w:ascii="Times New Roman" w:hAnsi="Times New Roman" w:cs="Times New Roman"/>
          <w:sz w:val="24"/>
          <w:szCs w:val="24"/>
        </w:rPr>
        <w:t>participación del Estado y de las corporaciones sindicales</w:t>
      </w:r>
      <w:commentRangeEnd w:id="86"/>
      <w:r w:rsidR="00AA03B2">
        <w:rPr>
          <w:rStyle w:val="Refdecomentario"/>
          <w:rFonts w:ascii="Times New Roman" w:eastAsia="SimSun" w:hAnsi="Times New Roman" w:cs="Mangal"/>
          <w:kern w:val="1"/>
          <w:lang w:val="es-UY" w:eastAsia="hi-IN" w:bidi="hi-IN"/>
        </w:rPr>
        <w:commentReference w:id="86"/>
      </w:r>
      <w:r w:rsidRPr="00E97625">
        <w:rPr>
          <w:rFonts w:ascii="Times New Roman" w:hAnsi="Times New Roman" w:cs="Times New Roman"/>
          <w:sz w:val="24"/>
          <w:szCs w:val="24"/>
        </w:rPr>
        <w:t xml:space="preserve">. Al respecto, la cobertura previsional alcanzó hacia el fin de la </w:t>
      </w:r>
      <w:r w:rsidRPr="00E97625">
        <w:rPr>
          <w:rFonts w:ascii="Times New Roman" w:hAnsi="Times New Roman" w:cs="Times New Roman"/>
          <w:i/>
          <w:sz w:val="24"/>
          <w:szCs w:val="24"/>
        </w:rPr>
        <w:t>era kirchnerista</w:t>
      </w:r>
      <w:r w:rsidRPr="00E97625">
        <w:rPr>
          <w:rFonts w:ascii="Times New Roman" w:hAnsi="Times New Roman" w:cs="Times New Roman"/>
          <w:sz w:val="24"/>
          <w:szCs w:val="24"/>
        </w:rPr>
        <w:t>, cerca del 92.9 % de la población de adultos mayores, fuere a través del sistema contributivo, como el no contributivo (</w:t>
      </w:r>
      <w:proofErr w:type="spellStart"/>
      <w:r w:rsidRPr="00E97625">
        <w:rPr>
          <w:rFonts w:ascii="Times New Roman" w:hAnsi="Times New Roman" w:cs="Times New Roman"/>
          <w:sz w:val="24"/>
          <w:szCs w:val="24"/>
        </w:rPr>
        <w:t>Danani</w:t>
      </w:r>
      <w:proofErr w:type="spellEnd"/>
      <w:r w:rsidRPr="00E97625">
        <w:rPr>
          <w:rFonts w:ascii="Times New Roman" w:hAnsi="Times New Roman" w:cs="Times New Roman"/>
          <w:sz w:val="24"/>
          <w:szCs w:val="24"/>
        </w:rPr>
        <w:t xml:space="preserve">, 2016). Tanto </w:t>
      </w:r>
      <w:r w:rsidR="00AE342E">
        <w:rPr>
          <w:rFonts w:ascii="Times New Roman" w:hAnsi="Times New Roman" w:cs="Times New Roman"/>
          <w:sz w:val="24"/>
          <w:szCs w:val="24"/>
        </w:rPr>
        <w:t xml:space="preserve">en función de </w:t>
      </w:r>
      <w:r w:rsidRPr="00E97625">
        <w:rPr>
          <w:rFonts w:ascii="Times New Roman" w:hAnsi="Times New Roman" w:cs="Times New Roman"/>
          <w:sz w:val="24"/>
          <w:szCs w:val="24"/>
        </w:rPr>
        <w:t xml:space="preserve">la expansión horizontal, esto es, la cobertura de la población, como en lo relativo a la mejora sustancial de los montos asignados por concepto de jubilaciones y pensiones, se logró un impacto significativo </w:t>
      </w:r>
      <w:del w:id="87" w:author="Claudia" w:date="2018-10-30T18:11:00Z">
        <w:r w:rsidRPr="00E97625" w:rsidDel="00AA03B2">
          <w:rPr>
            <w:rFonts w:ascii="Times New Roman" w:hAnsi="Times New Roman" w:cs="Times New Roman"/>
            <w:sz w:val="24"/>
            <w:szCs w:val="24"/>
          </w:rPr>
          <w:delText xml:space="preserve">de </w:delText>
        </w:r>
      </w:del>
      <w:ins w:id="88" w:author="Claudia" w:date="2018-10-30T18:11:00Z">
        <w:r w:rsidR="00AA03B2">
          <w:rPr>
            <w:rFonts w:ascii="Times New Roman" w:hAnsi="Times New Roman" w:cs="Times New Roman"/>
            <w:sz w:val="24"/>
            <w:szCs w:val="24"/>
          </w:rPr>
          <w:t>en</w:t>
        </w:r>
        <w:r w:rsidR="00AA03B2" w:rsidRPr="00E97625">
          <w:rPr>
            <w:rFonts w:ascii="Times New Roman" w:hAnsi="Times New Roman" w:cs="Times New Roman"/>
            <w:sz w:val="24"/>
            <w:szCs w:val="24"/>
          </w:rPr>
          <w:t xml:space="preserve"> </w:t>
        </w:r>
      </w:ins>
      <w:r w:rsidRPr="00E97625">
        <w:rPr>
          <w:rFonts w:ascii="Times New Roman" w:hAnsi="Times New Roman" w:cs="Times New Roman"/>
          <w:sz w:val="24"/>
          <w:szCs w:val="24"/>
        </w:rPr>
        <w:t xml:space="preserve">la calidad de vida de un segmento importante de la ciudadanía. El retorno al sistema histórico implicó de hecho un incremento del gasto social en jubilaciones y pensiones que pasó del </w:t>
      </w:r>
      <w:commentRangeStart w:id="89"/>
      <w:r w:rsidRPr="00E97625">
        <w:rPr>
          <w:rFonts w:ascii="Times New Roman" w:hAnsi="Times New Roman" w:cs="Times New Roman"/>
          <w:sz w:val="24"/>
          <w:szCs w:val="24"/>
        </w:rPr>
        <w:t>3.3% del PBI en el año 2003 al 6.7 % en el año 2014.</w:t>
      </w:r>
      <w:commentRangeEnd w:id="89"/>
      <w:r w:rsidR="00AA03B2">
        <w:rPr>
          <w:rStyle w:val="Refdecomentario"/>
          <w:rFonts w:ascii="Times New Roman" w:eastAsia="SimSun" w:hAnsi="Times New Roman" w:cs="Mangal"/>
          <w:kern w:val="1"/>
          <w:lang w:val="es-UY" w:eastAsia="hi-IN" w:bidi="hi-IN"/>
        </w:rPr>
        <w:commentReference w:id="89"/>
      </w:r>
      <w:ins w:id="90" w:author="Claudia" w:date="2018-10-30T18:13:00Z">
        <w:r w:rsidR="00E50FCD">
          <w:rPr>
            <w:rFonts w:ascii="Times New Roman" w:hAnsi="Times New Roman" w:cs="Times New Roman"/>
            <w:sz w:val="24"/>
            <w:szCs w:val="24"/>
          </w:rPr>
          <w:t xml:space="preserve"> Fuente</w:t>
        </w:r>
        <w:proofErr w:type="gramStart"/>
        <w:r w:rsidR="00E50FCD">
          <w:rPr>
            <w:rFonts w:ascii="Times New Roman" w:hAnsi="Times New Roman" w:cs="Times New Roman"/>
            <w:sz w:val="24"/>
            <w:szCs w:val="24"/>
          </w:rPr>
          <w:t>?</w:t>
        </w:r>
      </w:ins>
      <w:proofErr w:type="gramEnd"/>
    </w:p>
    <w:p w:rsidR="00E97625" w:rsidRPr="00E97625" w:rsidRDefault="00E97625" w:rsidP="008B27EE">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En segundo lugar, las estrategias que atendieron las situaciones de emergencia social en función del incremento de la pobreza e indigencia, se sustentaron en buena medida en la instrumentación de las clásicas modalidades de transferencias monetarias condicionadas. Si bien, el Plan Jefes y Jefas de Hogar fue una iniciativa durante el breve mandato de Duhalde, sirvió de base para la implementación de sucesivos programas y planes: Ingreso por el Desarrollo Humano en 2003, Plan Familias para la Inclusión Social en 2004, Seguro de Capacitación y Empleo en 2006, culminando con la creación de la Asignación Universal por Hijo en 2010. De este modo, los impactos en la mejora de los sectores socialmente más vulnerables se evidenciaron en un sensible descenso de la indigencia y la pobreza, que pasaron –en el período 2003-2015– del 22,5 % al 4,7 % y del 60,8 % al 27,3 % respectivamente (</w:t>
      </w:r>
      <w:commentRangeStart w:id="91"/>
      <w:r w:rsidRPr="00E97625">
        <w:rPr>
          <w:rFonts w:ascii="Times New Roman" w:hAnsi="Times New Roman" w:cs="Times New Roman"/>
          <w:sz w:val="24"/>
          <w:szCs w:val="24"/>
        </w:rPr>
        <w:t xml:space="preserve">CESO, 2016). </w:t>
      </w:r>
      <w:commentRangeEnd w:id="91"/>
      <w:r w:rsidR="0090017B">
        <w:rPr>
          <w:rStyle w:val="Refdecomentario"/>
          <w:rFonts w:ascii="Times New Roman" w:eastAsia="SimSun" w:hAnsi="Times New Roman" w:cs="Mangal"/>
          <w:kern w:val="1"/>
          <w:lang w:val="es-UY" w:eastAsia="hi-IN" w:bidi="hi-IN"/>
        </w:rPr>
        <w:commentReference w:id="91"/>
      </w:r>
      <w:r w:rsidRPr="00E97625">
        <w:rPr>
          <w:rFonts w:ascii="Times New Roman" w:hAnsi="Times New Roman" w:cs="Times New Roman"/>
          <w:sz w:val="24"/>
          <w:szCs w:val="24"/>
        </w:rPr>
        <w:t>Por otra parte, el salario real se vio notoriamente mejorado, al igual que la tasa de desempleo</w:t>
      </w:r>
      <w:ins w:id="92" w:author="Claudia" w:date="2018-10-30T19:03:00Z">
        <w:r w:rsidR="0090017B">
          <w:rPr>
            <w:rFonts w:ascii="Times New Roman" w:hAnsi="Times New Roman" w:cs="Times New Roman"/>
            <w:sz w:val="24"/>
            <w:szCs w:val="24"/>
          </w:rPr>
          <w:t>,</w:t>
        </w:r>
      </w:ins>
      <w:r w:rsidRPr="00E97625">
        <w:rPr>
          <w:rFonts w:ascii="Times New Roman" w:hAnsi="Times New Roman" w:cs="Times New Roman"/>
          <w:sz w:val="24"/>
          <w:szCs w:val="24"/>
        </w:rPr>
        <w:t xml:space="preserve"> que descendió de casi un 20 % en el año 2002 a menos del 7% en el año 2015. Tomando como base el año 2000, el siguiente cuadro ilustra la evolución del salario mínimo nacional, a partir de las decisiones gubernamentales que fijaron el mismo por encima de la inflación a efectos de obtener una recuperación salarial para los trabajadores formalizados. </w:t>
      </w:r>
    </w:p>
    <w:p w:rsidR="00E97625" w:rsidRPr="0014667A" w:rsidRDefault="007D2E03" w:rsidP="0014667A">
      <w:pPr>
        <w:spacing w:after="0" w:line="240" w:lineRule="auto"/>
        <w:jc w:val="center"/>
        <w:rPr>
          <w:rFonts w:ascii="Times New Roman" w:hAnsi="Times New Roman" w:cs="Times New Roman"/>
          <w:b/>
          <w:sz w:val="20"/>
          <w:szCs w:val="20"/>
          <w:lang w:val="es-UY"/>
        </w:rPr>
      </w:pPr>
      <w:r>
        <w:rPr>
          <w:rFonts w:ascii="Times New Roman" w:hAnsi="Times New Roman" w:cs="Times New Roman"/>
          <w:b/>
          <w:sz w:val="20"/>
          <w:szCs w:val="20"/>
          <w:lang w:val="es-UY"/>
        </w:rPr>
        <w:t>Cuadro II</w:t>
      </w:r>
      <w:r w:rsidR="00E97625" w:rsidRPr="0014667A">
        <w:rPr>
          <w:rFonts w:ascii="Times New Roman" w:hAnsi="Times New Roman" w:cs="Times New Roman"/>
          <w:b/>
          <w:sz w:val="20"/>
          <w:szCs w:val="20"/>
          <w:lang w:val="es-UY"/>
        </w:rPr>
        <w:t xml:space="preserve">. Evolución Salario Mínimo Real </w:t>
      </w:r>
      <w:commentRangeStart w:id="93"/>
      <w:r w:rsidR="00E97625" w:rsidRPr="0014667A">
        <w:rPr>
          <w:rFonts w:ascii="Times New Roman" w:hAnsi="Times New Roman" w:cs="Times New Roman"/>
          <w:b/>
          <w:sz w:val="20"/>
          <w:szCs w:val="20"/>
          <w:lang w:val="es-UY"/>
        </w:rPr>
        <w:t>2000-2015</w:t>
      </w:r>
      <w:commentRangeEnd w:id="93"/>
      <w:r w:rsidR="00574F86">
        <w:rPr>
          <w:rStyle w:val="Refdecomentario"/>
          <w:rFonts w:ascii="Times New Roman" w:eastAsia="SimSun" w:hAnsi="Times New Roman" w:cs="Mangal"/>
          <w:kern w:val="1"/>
          <w:lang w:val="es-UY" w:eastAsia="hi-IN" w:bidi="hi-IN"/>
        </w:rPr>
        <w:commentReference w:id="93"/>
      </w:r>
    </w:p>
    <w:p w:rsidR="00E97625" w:rsidRPr="00E97625" w:rsidRDefault="00E97625" w:rsidP="0014667A">
      <w:pPr>
        <w:spacing w:after="0" w:line="240" w:lineRule="auto"/>
        <w:jc w:val="both"/>
        <w:rPr>
          <w:rFonts w:ascii="Times New Roman" w:hAnsi="Times New Roman" w:cs="Times New Roman"/>
          <w:sz w:val="24"/>
          <w:szCs w:val="24"/>
          <w:lang w:val="es-UY"/>
        </w:rPr>
      </w:pPr>
      <w:r w:rsidRPr="00E97625">
        <w:rPr>
          <w:rFonts w:ascii="Times New Roman" w:hAnsi="Times New Roman" w:cs="Times New Roman"/>
          <w:b/>
          <w:noProof/>
          <w:sz w:val="24"/>
          <w:szCs w:val="24"/>
          <w:lang w:val="es-AR" w:eastAsia="es-AR"/>
        </w:rPr>
        <w:drawing>
          <wp:inline distT="0" distB="0" distL="0" distR="0">
            <wp:extent cx="5400040" cy="821624"/>
            <wp:effectExtent l="0" t="0" r="0" b="0"/>
            <wp:docPr id="1" name="Imagen 1" descr="C:\Users\Christian\Desktop\CapturaAR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ristian\Desktop\CapturaAR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821624"/>
                    </a:xfrm>
                    <a:prstGeom prst="rect">
                      <a:avLst/>
                    </a:prstGeom>
                    <a:noFill/>
                    <a:ln>
                      <a:noFill/>
                    </a:ln>
                  </pic:spPr>
                </pic:pic>
              </a:graphicData>
            </a:graphic>
          </wp:inline>
        </w:drawing>
      </w:r>
    </w:p>
    <w:p w:rsidR="00E97625" w:rsidRPr="00E344C3" w:rsidRDefault="00E97625" w:rsidP="0014667A">
      <w:pPr>
        <w:spacing w:after="0" w:line="240" w:lineRule="auto"/>
        <w:jc w:val="both"/>
        <w:rPr>
          <w:rFonts w:ascii="Times New Roman" w:hAnsi="Times New Roman" w:cs="Times New Roman"/>
          <w:sz w:val="20"/>
          <w:szCs w:val="20"/>
        </w:rPr>
      </w:pPr>
      <w:r w:rsidRPr="00E344C3">
        <w:rPr>
          <w:rFonts w:ascii="Times New Roman" w:hAnsi="Times New Roman" w:cs="Times New Roman"/>
          <w:sz w:val="20"/>
          <w:szCs w:val="20"/>
        </w:rPr>
        <w:t>Fuente: elaboración en base a los datos de CEPALSTAT, s/d a partir del 2012.</w:t>
      </w:r>
    </w:p>
    <w:p w:rsidR="00E97625" w:rsidRPr="00E97625" w:rsidRDefault="00E97625" w:rsidP="0014667A">
      <w:pPr>
        <w:spacing w:after="0" w:line="240" w:lineRule="auto"/>
        <w:jc w:val="both"/>
        <w:rPr>
          <w:rFonts w:ascii="Times New Roman" w:hAnsi="Times New Roman" w:cs="Times New Roman"/>
          <w:sz w:val="24"/>
          <w:szCs w:val="24"/>
        </w:rPr>
      </w:pPr>
    </w:p>
    <w:p w:rsidR="00E97625" w:rsidRDefault="00E97625" w:rsidP="00D75FFB">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Con relación a la salud, se registró un aumento de la cobertura y un especial énfasis en la atención primaria y el suministro de medicamentos, esto último traducido en el Plan Remediar que incrementaba el acceso gratuito de una canasta de medicamentos básicos incorporados a los botiquines distribuidos en todo el territorio. De acuerdo a las prioridades definidas por el gobierno, el porcentaje del Gasto Social se fue elevando conforme las reformas aplicadas en algunos de los subsectores que lo componen, tal como puede apreciarse en el siguiente </w:t>
      </w:r>
      <w:r w:rsidR="006544A4">
        <w:rPr>
          <w:rFonts w:ascii="Times New Roman" w:hAnsi="Times New Roman" w:cs="Times New Roman"/>
          <w:sz w:val="24"/>
          <w:szCs w:val="24"/>
        </w:rPr>
        <w:t>Cuadro</w:t>
      </w:r>
      <w:r w:rsidRPr="00E97625">
        <w:rPr>
          <w:rFonts w:ascii="Times New Roman" w:hAnsi="Times New Roman" w:cs="Times New Roman"/>
          <w:sz w:val="24"/>
          <w:szCs w:val="24"/>
        </w:rPr>
        <w:t>.</w:t>
      </w:r>
    </w:p>
    <w:p w:rsidR="00E97625" w:rsidRPr="00E97625" w:rsidRDefault="0014667A" w:rsidP="0014667A">
      <w:pPr>
        <w:spacing w:after="0" w:line="240" w:lineRule="auto"/>
        <w:ind w:left="284"/>
        <w:jc w:val="center"/>
        <w:rPr>
          <w:rFonts w:ascii="Times New Roman" w:hAnsi="Times New Roman" w:cs="Times New Roman"/>
          <w:sz w:val="24"/>
          <w:szCs w:val="24"/>
          <w:lang w:val="es-UY"/>
        </w:rPr>
      </w:pPr>
      <w:r>
        <w:rPr>
          <w:rFonts w:ascii="Times New Roman" w:hAnsi="Times New Roman" w:cs="Times New Roman"/>
          <w:b/>
          <w:sz w:val="20"/>
          <w:szCs w:val="20"/>
          <w:lang w:val="es-UY"/>
        </w:rPr>
        <w:t>Cuadro I</w:t>
      </w:r>
      <w:r w:rsidR="006544A4">
        <w:rPr>
          <w:rFonts w:ascii="Times New Roman" w:hAnsi="Times New Roman" w:cs="Times New Roman"/>
          <w:b/>
          <w:sz w:val="20"/>
          <w:szCs w:val="20"/>
          <w:lang w:val="es-UY"/>
        </w:rPr>
        <w:t>I</w:t>
      </w:r>
      <w:r>
        <w:rPr>
          <w:rFonts w:ascii="Times New Roman" w:hAnsi="Times New Roman" w:cs="Times New Roman"/>
          <w:b/>
          <w:sz w:val="20"/>
          <w:szCs w:val="20"/>
          <w:lang w:val="es-UY"/>
        </w:rPr>
        <w:t xml:space="preserve">I. </w:t>
      </w:r>
      <w:r w:rsidR="00E97625" w:rsidRPr="0014667A">
        <w:rPr>
          <w:rFonts w:ascii="Times New Roman" w:hAnsi="Times New Roman" w:cs="Times New Roman"/>
          <w:b/>
          <w:sz w:val="20"/>
          <w:szCs w:val="20"/>
          <w:lang w:val="es-UY"/>
        </w:rPr>
        <w:t xml:space="preserve">Gasto Público Social como porcentaje del PBI </w:t>
      </w:r>
      <w:commentRangeStart w:id="94"/>
      <w:r w:rsidR="00E97625" w:rsidRPr="0014667A">
        <w:rPr>
          <w:rFonts w:ascii="Times New Roman" w:hAnsi="Times New Roman" w:cs="Times New Roman"/>
          <w:b/>
          <w:sz w:val="20"/>
          <w:szCs w:val="20"/>
          <w:lang w:val="es-UY"/>
        </w:rPr>
        <w:t>2000-2015</w:t>
      </w:r>
      <w:commentRangeEnd w:id="94"/>
      <w:r w:rsidR="00574F86">
        <w:rPr>
          <w:rStyle w:val="Refdecomentario"/>
          <w:rFonts w:ascii="Times New Roman" w:eastAsia="SimSun" w:hAnsi="Times New Roman" w:cs="Mangal"/>
          <w:kern w:val="1"/>
          <w:lang w:val="es-UY" w:eastAsia="hi-IN" w:bidi="hi-IN"/>
        </w:rPr>
        <w:commentReference w:id="94"/>
      </w:r>
      <w:r w:rsidR="00E97625" w:rsidRPr="00E97625">
        <w:rPr>
          <w:rFonts w:ascii="Times New Roman" w:hAnsi="Times New Roman" w:cs="Times New Roman"/>
          <w:noProof/>
          <w:sz w:val="24"/>
          <w:szCs w:val="24"/>
          <w:lang w:val="es-AR" w:eastAsia="es-AR"/>
        </w:rPr>
        <w:drawing>
          <wp:inline distT="0" distB="0" distL="0" distR="0">
            <wp:extent cx="5435958" cy="1736011"/>
            <wp:effectExtent l="0" t="0" r="0" b="0"/>
            <wp:docPr id="6" name="Imagen 3"/>
            <wp:cNvGraphicFramePr/>
            <a:graphic xmlns:a="http://schemas.openxmlformats.org/drawingml/2006/main">
              <a:graphicData uri="http://schemas.openxmlformats.org/drawingml/2006/picture">
                <pic:pic xmlns:pic="http://schemas.openxmlformats.org/drawingml/2006/picture">
                  <pic:nvPicPr>
                    <pic:cNvPr id="4" name="3 Imagen"/>
                    <pic:cNvPicPr/>
                  </pic:nvPicPr>
                  <pic:blipFill>
                    <a:blip r:embed="rId12"/>
                    <a:srcRect/>
                    <a:stretch>
                      <a:fillRect/>
                    </a:stretch>
                  </pic:blipFill>
                  <pic:spPr bwMode="auto">
                    <a:xfrm>
                      <a:off x="0" y="0"/>
                      <a:ext cx="5654595" cy="1805834"/>
                    </a:xfrm>
                    <a:prstGeom prst="rect">
                      <a:avLst/>
                    </a:prstGeom>
                    <a:noFill/>
                    <a:ln w="9525">
                      <a:noFill/>
                      <a:miter lim="800000"/>
                      <a:headEnd/>
                      <a:tailEnd/>
                    </a:ln>
                  </pic:spPr>
                </pic:pic>
              </a:graphicData>
            </a:graphic>
          </wp:inline>
        </w:drawing>
      </w:r>
    </w:p>
    <w:p w:rsidR="00E97625" w:rsidRPr="0014667A" w:rsidRDefault="0014667A" w:rsidP="00E97625">
      <w:pPr>
        <w:spacing w:line="360" w:lineRule="auto"/>
        <w:jc w:val="both"/>
        <w:rPr>
          <w:rFonts w:ascii="Times New Roman" w:hAnsi="Times New Roman" w:cs="Times New Roman"/>
          <w:sz w:val="20"/>
          <w:szCs w:val="20"/>
          <w:lang w:val="es-UY"/>
        </w:rPr>
      </w:pPr>
      <w:r w:rsidRPr="0014667A">
        <w:rPr>
          <w:rFonts w:ascii="Times New Roman" w:hAnsi="Times New Roman" w:cs="Times New Roman"/>
          <w:sz w:val="20"/>
          <w:szCs w:val="20"/>
          <w:lang w:val="es-UY"/>
        </w:rPr>
        <w:t>Fuente: CEPALSTAT, 2016</w:t>
      </w:r>
    </w:p>
    <w:p w:rsidR="00E97625" w:rsidRPr="00E97625" w:rsidRDefault="0014667A" w:rsidP="00A54538">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c</w:t>
      </w:r>
      <w:r w:rsidR="00A54538">
        <w:rPr>
          <w:rFonts w:ascii="Times New Roman" w:hAnsi="Times New Roman" w:cs="Times New Roman"/>
          <w:sz w:val="24"/>
          <w:szCs w:val="24"/>
        </w:rPr>
        <w:t xml:space="preserve">) </w:t>
      </w:r>
      <w:r w:rsidR="00E97625" w:rsidRPr="00E97625">
        <w:rPr>
          <w:rFonts w:ascii="Times New Roman" w:hAnsi="Times New Roman" w:cs="Times New Roman"/>
          <w:sz w:val="24"/>
          <w:szCs w:val="24"/>
        </w:rPr>
        <w:t>Alianzas coyunturales y estructurales</w:t>
      </w:r>
    </w:p>
    <w:p w:rsidR="00E97625" w:rsidRPr="00E97625" w:rsidRDefault="00E97625" w:rsidP="00960B60">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Si bien al comienzo de la primera presidencia de N. Kirchner las organizaciones sociales más combativas, aquellas que protagonizaron en buena medida las protestas sociales durante los noventas y a inicios del presente siglo, entre otros</w:t>
      </w:r>
      <w:r w:rsidR="00550392">
        <w:rPr>
          <w:rFonts w:ascii="Times New Roman" w:hAnsi="Times New Roman" w:cs="Times New Roman"/>
          <w:sz w:val="24"/>
          <w:szCs w:val="24"/>
        </w:rPr>
        <w:t>,</w:t>
      </w:r>
      <w:r w:rsidRPr="00E97625">
        <w:rPr>
          <w:rFonts w:ascii="Times New Roman" w:hAnsi="Times New Roman" w:cs="Times New Roman"/>
          <w:sz w:val="24"/>
          <w:szCs w:val="24"/>
        </w:rPr>
        <w:t xml:space="preserve"> los denominados </w:t>
      </w:r>
      <w:r w:rsidRPr="00E97625">
        <w:rPr>
          <w:rFonts w:ascii="Times New Roman" w:hAnsi="Times New Roman" w:cs="Times New Roman"/>
          <w:i/>
          <w:sz w:val="24"/>
          <w:szCs w:val="24"/>
        </w:rPr>
        <w:t>piqueteros</w:t>
      </w:r>
      <w:r w:rsidR="00F001AA">
        <w:rPr>
          <w:rFonts w:ascii="Times New Roman" w:hAnsi="Times New Roman" w:cs="Times New Roman"/>
          <w:i/>
          <w:sz w:val="24"/>
          <w:szCs w:val="24"/>
        </w:rPr>
        <w:t xml:space="preserve"> </w:t>
      </w:r>
      <w:r w:rsidRPr="00E97625">
        <w:rPr>
          <w:rFonts w:ascii="Times New Roman" w:hAnsi="Times New Roman" w:cs="Times New Roman"/>
          <w:sz w:val="24"/>
          <w:szCs w:val="24"/>
        </w:rPr>
        <w:t xml:space="preserve">(movimiento de trabajadores desocupados, </w:t>
      </w:r>
      <w:r w:rsidRPr="009C222F">
        <w:rPr>
          <w:rFonts w:ascii="Times New Roman" w:hAnsi="Times New Roman" w:cs="Times New Roman"/>
          <w:sz w:val="24"/>
          <w:szCs w:val="24"/>
          <w:highlight w:val="lightGray"/>
          <w:rPrChange w:id="95" w:author="Claudia" w:date="2018-10-30T19:09:00Z">
            <w:rPr>
              <w:rFonts w:ascii="Times New Roman" w:hAnsi="Times New Roman" w:cs="Times New Roman"/>
              <w:sz w:val="24"/>
              <w:szCs w:val="24"/>
            </w:rPr>
          </w:rPrChange>
        </w:rPr>
        <w:t>MTD</w:t>
      </w:r>
      <w:r w:rsidRPr="00E97625">
        <w:rPr>
          <w:rFonts w:ascii="Times New Roman" w:hAnsi="Times New Roman" w:cs="Times New Roman"/>
          <w:sz w:val="24"/>
          <w:szCs w:val="24"/>
        </w:rPr>
        <w:t xml:space="preserve">), apoyaron la gestión del entonces primer mandatario; tiempo después, serían los sindicatos los actores privilegiados en su relación con el gobierno. De acuerdo a la estrategia central del </w:t>
      </w:r>
      <w:proofErr w:type="spellStart"/>
      <w:r w:rsidRPr="00E97625">
        <w:rPr>
          <w:rFonts w:ascii="Times New Roman" w:hAnsi="Times New Roman" w:cs="Times New Roman"/>
          <w:i/>
          <w:sz w:val="24"/>
          <w:szCs w:val="24"/>
        </w:rPr>
        <w:t>kirchnerismo</w:t>
      </w:r>
      <w:proofErr w:type="spellEnd"/>
      <w:r w:rsidRPr="00E97625">
        <w:rPr>
          <w:rFonts w:ascii="Times New Roman" w:hAnsi="Times New Roman" w:cs="Times New Roman"/>
          <w:sz w:val="24"/>
          <w:szCs w:val="24"/>
        </w:rPr>
        <w:t xml:space="preserve">, sustentada en la intención de </w:t>
      </w:r>
      <w:proofErr w:type="spellStart"/>
      <w:r w:rsidRPr="00E97625">
        <w:rPr>
          <w:rFonts w:ascii="Times New Roman" w:hAnsi="Times New Roman" w:cs="Times New Roman"/>
          <w:sz w:val="24"/>
          <w:szCs w:val="24"/>
        </w:rPr>
        <w:t>retonificar</w:t>
      </w:r>
      <w:proofErr w:type="spellEnd"/>
      <w:r w:rsidRPr="00E97625">
        <w:rPr>
          <w:rFonts w:ascii="Times New Roman" w:hAnsi="Times New Roman" w:cs="Times New Roman"/>
          <w:sz w:val="24"/>
          <w:szCs w:val="24"/>
        </w:rPr>
        <w:t xml:space="preserve"> la economía nacional sobre la base de la expansión del consumo interno, la generación de empleo y el estímulo a la inversión de capitales nacionales, la clase trabajadora y sus correspondientes organizaciones sindicales serían los principales actores sociales con los que el gobierno conformaría una alianza o coalición política. No obstante, cabe consignar que las movilizaciones populares a inicios del presente siglo, y las iniciativas que culminaron en propuestas plebiscitadas </w:t>
      </w:r>
      <w:commentRangeStart w:id="96"/>
      <w:r w:rsidRPr="00E97625">
        <w:rPr>
          <w:rFonts w:ascii="Times New Roman" w:hAnsi="Times New Roman" w:cs="Times New Roman"/>
          <w:sz w:val="24"/>
          <w:szCs w:val="24"/>
        </w:rPr>
        <w:t xml:space="preserve">con singular éxito (2001), </w:t>
      </w:r>
      <w:commentRangeEnd w:id="96"/>
      <w:r w:rsidR="009C222F">
        <w:rPr>
          <w:rStyle w:val="Refdecomentario"/>
          <w:rFonts w:ascii="Times New Roman" w:eastAsia="SimSun" w:hAnsi="Times New Roman" w:cs="Mangal"/>
          <w:kern w:val="1"/>
          <w:lang w:val="es-UY" w:eastAsia="hi-IN" w:bidi="hi-IN"/>
        </w:rPr>
        <w:commentReference w:id="96"/>
      </w:r>
      <w:ins w:id="97" w:author="Claudia" w:date="2018-10-30T19:11:00Z">
        <w:r w:rsidR="009C222F">
          <w:rPr>
            <w:rFonts w:ascii="Times New Roman" w:hAnsi="Times New Roman" w:cs="Times New Roman"/>
            <w:sz w:val="24"/>
            <w:szCs w:val="24"/>
          </w:rPr>
          <w:t>habían constituido</w:t>
        </w:r>
      </w:ins>
      <w:del w:id="98" w:author="Claudia" w:date="2018-10-30T19:11:00Z">
        <w:r w:rsidRPr="00E97625" w:rsidDel="009C222F">
          <w:rPr>
            <w:rFonts w:ascii="Times New Roman" w:hAnsi="Times New Roman" w:cs="Times New Roman"/>
            <w:sz w:val="24"/>
            <w:szCs w:val="24"/>
          </w:rPr>
          <w:delText>constituyen</w:delText>
        </w:r>
      </w:del>
      <w:r w:rsidRPr="00E97625">
        <w:rPr>
          <w:rFonts w:ascii="Times New Roman" w:hAnsi="Times New Roman" w:cs="Times New Roman"/>
          <w:sz w:val="24"/>
          <w:szCs w:val="24"/>
        </w:rPr>
        <w:t xml:space="preserve"> los antecedentes de algunas reformas sociales que incluyeron las propuestas promovidas en aquellos años por las organizaciones sociales de relativa reciente formación (MTD, CTA, </w:t>
      </w:r>
      <w:ins w:id="99" w:author="Claudia" w:date="2018-10-30T19:12:00Z">
        <w:r w:rsidR="009C222F">
          <w:rPr>
            <w:rFonts w:ascii="Times New Roman" w:hAnsi="Times New Roman" w:cs="Times New Roman"/>
            <w:sz w:val="24"/>
            <w:szCs w:val="24"/>
          </w:rPr>
          <w:t xml:space="preserve">Frente de Tierra y vivienda, </w:t>
        </w:r>
      </w:ins>
      <w:r w:rsidRPr="00E97625">
        <w:rPr>
          <w:rFonts w:ascii="Times New Roman" w:hAnsi="Times New Roman" w:cs="Times New Roman"/>
          <w:sz w:val="24"/>
          <w:szCs w:val="24"/>
        </w:rPr>
        <w:t xml:space="preserve">FTV, </w:t>
      </w:r>
      <w:r w:rsidR="006544A4" w:rsidRPr="00E97625">
        <w:rPr>
          <w:rFonts w:ascii="Times New Roman" w:hAnsi="Times New Roman" w:cs="Times New Roman"/>
          <w:sz w:val="24"/>
          <w:szCs w:val="24"/>
        </w:rPr>
        <w:t>etc.</w:t>
      </w:r>
      <w:r w:rsidRPr="00E97625">
        <w:rPr>
          <w:rFonts w:ascii="Times New Roman" w:hAnsi="Times New Roman" w:cs="Times New Roman"/>
          <w:sz w:val="24"/>
          <w:szCs w:val="24"/>
        </w:rPr>
        <w:t xml:space="preserve">), tal como lo ilustra </w:t>
      </w:r>
      <w:proofErr w:type="spellStart"/>
      <w:r w:rsidRPr="00E97625">
        <w:rPr>
          <w:rFonts w:ascii="Times New Roman" w:hAnsi="Times New Roman" w:cs="Times New Roman"/>
          <w:sz w:val="24"/>
          <w:szCs w:val="24"/>
        </w:rPr>
        <w:t>Gambina</w:t>
      </w:r>
      <w:proofErr w:type="spellEnd"/>
      <w:r w:rsidRPr="00E97625">
        <w:rPr>
          <w:rFonts w:ascii="Times New Roman" w:hAnsi="Times New Roman" w:cs="Times New Roman"/>
          <w:sz w:val="24"/>
          <w:szCs w:val="24"/>
        </w:rPr>
        <w:t xml:space="preserve"> (2008) </w:t>
      </w:r>
    </w:p>
    <w:p w:rsidR="00E97625" w:rsidRDefault="00E97625" w:rsidP="00DE09DC">
      <w:pPr>
        <w:spacing w:after="0" w:line="480" w:lineRule="auto"/>
        <w:ind w:left="1276"/>
        <w:jc w:val="both"/>
        <w:rPr>
          <w:rFonts w:ascii="Times New Roman" w:hAnsi="Times New Roman" w:cs="Times New Roman"/>
          <w:sz w:val="20"/>
          <w:szCs w:val="20"/>
          <w:lang w:val="es-UY"/>
        </w:rPr>
      </w:pPr>
      <w:r w:rsidRPr="00AE342E">
        <w:rPr>
          <w:rFonts w:ascii="Times New Roman" w:hAnsi="Times New Roman" w:cs="Times New Roman"/>
          <w:sz w:val="20"/>
          <w:szCs w:val="20"/>
          <w:lang w:val="es-UY"/>
        </w:rPr>
        <w:t>Fueron 3 millones de voluntades a favor de un seguro de empleo y formación, una asignación universal para menores de 18 años y otra para la vejez sin cobertura previsional. Voluntades obtenidas en una movilización nacional protagonizada por 60.000 militantes</w:t>
      </w:r>
      <w:r w:rsidR="00D75FFB">
        <w:rPr>
          <w:rFonts w:ascii="Times New Roman" w:hAnsi="Times New Roman" w:cs="Times New Roman"/>
          <w:sz w:val="20"/>
          <w:szCs w:val="20"/>
          <w:lang w:val="es-UY"/>
        </w:rPr>
        <w:t xml:space="preserve"> (</w:t>
      </w:r>
      <w:proofErr w:type="spellStart"/>
      <w:r w:rsidR="00D75FFB">
        <w:rPr>
          <w:rFonts w:ascii="Times New Roman" w:hAnsi="Times New Roman" w:cs="Times New Roman"/>
          <w:sz w:val="20"/>
          <w:szCs w:val="20"/>
          <w:lang w:val="es-UY"/>
        </w:rPr>
        <w:t>Gambina</w:t>
      </w:r>
      <w:proofErr w:type="spellEnd"/>
      <w:r w:rsidR="00D75FFB">
        <w:rPr>
          <w:rFonts w:ascii="Times New Roman" w:hAnsi="Times New Roman" w:cs="Times New Roman"/>
          <w:sz w:val="20"/>
          <w:szCs w:val="20"/>
          <w:lang w:val="es-UY"/>
        </w:rPr>
        <w:t>, 2008)</w:t>
      </w:r>
      <w:r w:rsidRPr="00AE342E">
        <w:rPr>
          <w:rFonts w:ascii="Times New Roman" w:hAnsi="Times New Roman" w:cs="Times New Roman"/>
          <w:sz w:val="20"/>
          <w:szCs w:val="20"/>
          <w:lang w:val="es-UY"/>
        </w:rPr>
        <w:t xml:space="preserve">. </w:t>
      </w:r>
    </w:p>
    <w:p w:rsidR="006544A4" w:rsidRDefault="006544A4" w:rsidP="00DE09DC">
      <w:pPr>
        <w:spacing w:after="0" w:line="480" w:lineRule="auto"/>
        <w:jc w:val="both"/>
        <w:rPr>
          <w:rFonts w:ascii="Times New Roman" w:hAnsi="Times New Roman" w:cs="Times New Roman"/>
          <w:sz w:val="24"/>
          <w:szCs w:val="24"/>
          <w:lang w:val="es-UY"/>
        </w:rPr>
      </w:pPr>
      <w:r w:rsidRPr="006544A4">
        <w:rPr>
          <w:rFonts w:ascii="Times New Roman" w:hAnsi="Times New Roman" w:cs="Times New Roman"/>
          <w:sz w:val="24"/>
          <w:szCs w:val="24"/>
          <w:lang w:val="es-UY"/>
        </w:rPr>
        <w:t xml:space="preserve">Como se ha dicho, las medidas plebiscitadas en aquella ocasión fueron recogidas e incorporadas en la batería de medidas de combate a la indigencia y pobreza en los sucesivos gobiernos de Kirchner y Fernández de Kirchner. </w:t>
      </w:r>
      <w:r w:rsidR="00512517">
        <w:rPr>
          <w:rFonts w:ascii="Times New Roman" w:hAnsi="Times New Roman" w:cs="Times New Roman"/>
          <w:sz w:val="24"/>
          <w:szCs w:val="24"/>
          <w:lang w:val="es-UY"/>
        </w:rPr>
        <w:t xml:space="preserve">Sin embargo, sería el movimiento obrero articulado en las centrales sindicales </w:t>
      </w:r>
      <w:commentRangeStart w:id="100"/>
      <w:r w:rsidR="00512517">
        <w:rPr>
          <w:rFonts w:ascii="Times New Roman" w:hAnsi="Times New Roman" w:cs="Times New Roman"/>
          <w:sz w:val="24"/>
          <w:szCs w:val="24"/>
          <w:lang w:val="es-UY"/>
        </w:rPr>
        <w:t>(tanto las históricas CGT como las de relativa nueva formación, en este caso las dos CTA</w:t>
      </w:r>
      <w:commentRangeEnd w:id="100"/>
      <w:r w:rsidR="009C222F">
        <w:rPr>
          <w:rStyle w:val="Refdecomentario"/>
          <w:rFonts w:ascii="Times New Roman" w:eastAsia="SimSun" w:hAnsi="Times New Roman" w:cs="Mangal"/>
          <w:kern w:val="1"/>
          <w:lang w:val="es-UY" w:eastAsia="hi-IN" w:bidi="hi-IN"/>
        </w:rPr>
        <w:commentReference w:id="100"/>
      </w:r>
      <w:r w:rsidR="00512517">
        <w:rPr>
          <w:rFonts w:ascii="Times New Roman" w:hAnsi="Times New Roman" w:cs="Times New Roman"/>
          <w:sz w:val="24"/>
          <w:szCs w:val="24"/>
          <w:lang w:val="es-UY"/>
        </w:rPr>
        <w:t xml:space="preserve">), </w:t>
      </w:r>
      <w:r w:rsidR="007219A2">
        <w:rPr>
          <w:rFonts w:ascii="Times New Roman" w:hAnsi="Times New Roman" w:cs="Times New Roman"/>
          <w:sz w:val="24"/>
          <w:szCs w:val="24"/>
          <w:lang w:val="es-UY"/>
        </w:rPr>
        <w:t>los</w:t>
      </w:r>
      <w:r w:rsidR="00512517">
        <w:rPr>
          <w:rFonts w:ascii="Times New Roman" w:hAnsi="Times New Roman" w:cs="Times New Roman"/>
          <w:sz w:val="24"/>
          <w:szCs w:val="24"/>
          <w:lang w:val="es-UY"/>
        </w:rPr>
        <w:t xml:space="preserve"> actor</w:t>
      </w:r>
      <w:r w:rsidR="007219A2">
        <w:rPr>
          <w:rFonts w:ascii="Times New Roman" w:hAnsi="Times New Roman" w:cs="Times New Roman"/>
          <w:sz w:val="24"/>
          <w:szCs w:val="24"/>
          <w:lang w:val="es-UY"/>
        </w:rPr>
        <w:t>es</w:t>
      </w:r>
      <w:r w:rsidR="00512517">
        <w:rPr>
          <w:rFonts w:ascii="Times New Roman" w:hAnsi="Times New Roman" w:cs="Times New Roman"/>
          <w:sz w:val="24"/>
          <w:szCs w:val="24"/>
          <w:lang w:val="es-UY"/>
        </w:rPr>
        <w:t xml:space="preserve"> </w:t>
      </w:r>
      <w:r w:rsidR="007219A2">
        <w:rPr>
          <w:rFonts w:ascii="Times New Roman" w:hAnsi="Times New Roman" w:cs="Times New Roman"/>
          <w:sz w:val="24"/>
          <w:szCs w:val="24"/>
          <w:lang w:val="es-UY"/>
        </w:rPr>
        <w:t xml:space="preserve">sociales </w:t>
      </w:r>
      <w:r w:rsidR="00512517">
        <w:rPr>
          <w:rFonts w:ascii="Times New Roman" w:hAnsi="Times New Roman" w:cs="Times New Roman"/>
          <w:sz w:val="24"/>
          <w:szCs w:val="24"/>
          <w:lang w:val="es-UY"/>
        </w:rPr>
        <w:t xml:space="preserve">de referencia e interlocución (sobre todo en consideración a la negociación colectiva que </w:t>
      </w:r>
      <w:proofErr w:type="gramStart"/>
      <w:r w:rsidR="00512517">
        <w:rPr>
          <w:rFonts w:ascii="Times New Roman" w:hAnsi="Times New Roman" w:cs="Times New Roman"/>
          <w:sz w:val="24"/>
          <w:szCs w:val="24"/>
          <w:lang w:val="es-UY"/>
        </w:rPr>
        <w:t>caracterizara</w:t>
      </w:r>
      <w:proofErr w:type="gramEnd"/>
      <w:r w:rsidR="00512517">
        <w:rPr>
          <w:rFonts w:ascii="Times New Roman" w:hAnsi="Times New Roman" w:cs="Times New Roman"/>
          <w:sz w:val="24"/>
          <w:szCs w:val="24"/>
          <w:lang w:val="es-UY"/>
        </w:rPr>
        <w:t xml:space="preserve"> aquel período), y consecuentemente </w:t>
      </w:r>
      <w:r w:rsidR="005E08DE">
        <w:rPr>
          <w:rFonts w:ascii="Times New Roman" w:hAnsi="Times New Roman" w:cs="Times New Roman"/>
          <w:sz w:val="24"/>
          <w:szCs w:val="24"/>
          <w:lang w:val="es-UY"/>
        </w:rPr>
        <w:t xml:space="preserve">integrantes de la coalición distributiva, en la que convergieron organizaciones barriales, de defensa de los derechos humanos (muy especialmente las Madres y Abuelas de Plaza de Mayo), de pequeños y medianos empresarios, entre otras. </w:t>
      </w:r>
    </w:p>
    <w:p w:rsidR="00E97625" w:rsidRPr="00E97625" w:rsidRDefault="00A54538" w:rsidP="00A54538">
      <w:pPr>
        <w:spacing w:line="360" w:lineRule="auto"/>
        <w:ind w:left="1069"/>
        <w:jc w:val="both"/>
        <w:rPr>
          <w:rFonts w:ascii="Times New Roman" w:hAnsi="Times New Roman" w:cs="Times New Roman"/>
          <w:b/>
          <w:sz w:val="24"/>
          <w:szCs w:val="24"/>
        </w:rPr>
      </w:pPr>
      <w:r>
        <w:rPr>
          <w:rFonts w:ascii="Times New Roman" w:hAnsi="Times New Roman" w:cs="Times New Roman"/>
          <w:b/>
          <w:sz w:val="24"/>
          <w:szCs w:val="24"/>
        </w:rPr>
        <w:t xml:space="preserve">3.2. </w:t>
      </w:r>
      <w:r w:rsidR="00E97625" w:rsidRPr="00E97625">
        <w:rPr>
          <w:rFonts w:ascii="Times New Roman" w:hAnsi="Times New Roman" w:cs="Times New Roman"/>
          <w:b/>
          <w:sz w:val="24"/>
          <w:szCs w:val="24"/>
        </w:rPr>
        <w:t>URUGUAY</w:t>
      </w:r>
    </w:p>
    <w:p w:rsidR="00E97625" w:rsidRDefault="00E97625" w:rsidP="005F7E04">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Tras la larga </w:t>
      </w:r>
      <w:r w:rsidRPr="00E97625">
        <w:rPr>
          <w:rFonts w:ascii="Times New Roman" w:hAnsi="Times New Roman" w:cs="Times New Roman"/>
          <w:i/>
          <w:sz w:val="24"/>
          <w:szCs w:val="24"/>
        </w:rPr>
        <w:t>hegemonía</w:t>
      </w:r>
      <w:r w:rsidRPr="00E97625">
        <w:rPr>
          <w:rFonts w:ascii="Times New Roman" w:hAnsi="Times New Roman" w:cs="Times New Roman"/>
          <w:sz w:val="24"/>
          <w:szCs w:val="24"/>
        </w:rPr>
        <w:t xml:space="preserve"> de los partidos tradicionales (Partido Colorado y Partido Nacional), durante el siglo XX, la izquierda coaligada en el Frente Amplio obtuvo la victoria electoral en 2004. Es entonces que a partir del 2005 pone en marcha en primera instancia un ambicioso Plan de Emergencia Social que logró abatir sobre todo los altos índices de extrema pobreza y en menor medida la pobreza, tras una crisis económico-financiera de profundo impacto social registrada en el año 2002. Sin embargo, las reformas sociales tuvieron lugar sobre todo a partir del año 2008</w:t>
      </w:r>
      <w:ins w:id="101" w:author="Claudia" w:date="2018-10-30T19:16:00Z">
        <w:r w:rsidR="00B65804">
          <w:rPr>
            <w:rFonts w:ascii="Times New Roman" w:hAnsi="Times New Roman" w:cs="Times New Roman"/>
            <w:sz w:val="24"/>
            <w:szCs w:val="24"/>
          </w:rPr>
          <w:t>,</w:t>
        </w:r>
      </w:ins>
      <w:r w:rsidRPr="00E97625">
        <w:rPr>
          <w:rFonts w:ascii="Times New Roman" w:hAnsi="Times New Roman" w:cs="Times New Roman"/>
          <w:sz w:val="24"/>
          <w:szCs w:val="24"/>
        </w:rPr>
        <w:t xml:space="preserve"> con la puesta en funcionamiento del nuevo sistema integrado de salud, la reconfiguración de las asignaciones familiares y –aunque parcial y acotada– la reforma en la educación en el marco del denominado Plan de Equidad. También debe mencionarse la reimplantación de la negociación colectiva obligatoria a partir de la puesta en marcha de los consejos de salarios (práctica que </w:t>
      </w:r>
      <w:r w:rsidRPr="00B65804">
        <w:rPr>
          <w:rFonts w:ascii="Times New Roman" w:hAnsi="Times New Roman" w:cs="Times New Roman"/>
          <w:sz w:val="24"/>
          <w:szCs w:val="24"/>
          <w:highlight w:val="lightGray"/>
          <w:rPrChange w:id="102" w:author="Claudia" w:date="2018-10-30T19:16:00Z">
            <w:rPr>
              <w:rFonts w:ascii="Times New Roman" w:hAnsi="Times New Roman" w:cs="Times New Roman"/>
              <w:sz w:val="24"/>
              <w:szCs w:val="24"/>
            </w:rPr>
          </w:rPrChange>
        </w:rPr>
        <w:t xml:space="preserve">hubo de </w:t>
      </w:r>
      <w:commentRangeStart w:id="103"/>
      <w:r w:rsidRPr="00B65804">
        <w:rPr>
          <w:rFonts w:ascii="Times New Roman" w:hAnsi="Times New Roman" w:cs="Times New Roman"/>
          <w:sz w:val="24"/>
          <w:szCs w:val="24"/>
          <w:highlight w:val="lightGray"/>
          <w:rPrChange w:id="104" w:author="Claudia" w:date="2018-10-30T19:16:00Z">
            <w:rPr>
              <w:rFonts w:ascii="Times New Roman" w:hAnsi="Times New Roman" w:cs="Times New Roman"/>
              <w:sz w:val="24"/>
              <w:szCs w:val="24"/>
            </w:rPr>
          </w:rPrChange>
        </w:rPr>
        <w:t>abandonarse</w:t>
      </w:r>
      <w:commentRangeEnd w:id="103"/>
      <w:r w:rsidR="00B65804">
        <w:rPr>
          <w:rStyle w:val="Refdecomentario"/>
          <w:rFonts w:ascii="Times New Roman" w:eastAsia="SimSun" w:hAnsi="Times New Roman" w:cs="Mangal"/>
          <w:kern w:val="1"/>
          <w:lang w:val="es-UY" w:eastAsia="hi-IN" w:bidi="hi-IN"/>
        </w:rPr>
        <w:commentReference w:id="103"/>
      </w:r>
      <w:r w:rsidRPr="00E97625">
        <w:rPr>
          <w:rFonts w:ascii="Times New Roman" w:hAnsi="Times New Roman" w:cs="Times New Roman"/>
          <w:sz w:val="24"/>
          <w:szCs w:val="24"/>
        </w:rPr>
        <w:t xml:space="preserve"> en la década de los noventas), que junto con la reactivación económica lograron mejoras sustantivas en el campo laboral (incremento del salario real, nuevas leyes de protección a los trabajadores del sector doméstico y rural), sumadas a reformas parciales de la seguridad social. El nuevo gobierno contó con el apoyo explícito del PIT – CNT, central sindical única y unitaria, de los movimientos estudiantiles y cooperativos, así como de las organizaciones defensoras de los derechos humanos. </w:t>
      </w:r>
    </w:p>
    <w:p w:rsidR="00E97625" w:rsidRPr="00A54538" w:rsidRDefault="00A54538" w:rsidP="00A54538">
      <w:pPr>
        <w:spacing w:after="0" w:line="480" w:lineRule="auto"/>
        <w:ind w:left="1069"/>
        <w:jc w:val="both"/>
        <w:rPr>
          <w:rFonts w:ascii="Times New Roman" w:hAnsi="Times New Roman" w:cs="Times New Roman"/>
          <w:sz w:val="24"/>
          <w:szCs w:val="24"/>
        </w:rPr>
      </w:pPr>
      <w:r w:rsidRPr="00A54538">
        <w:rPr>
          <w:rFonts w:ascii="Times New Roman" w:hAnsi="Times New Roman" w:cs="Times New Roman"/>
          <w:sz w:val="24"/>
          <w:szCs w:val="24"/>
        </w:rPr>
        <w:t xml:space="preserve">a) </w:t>
      </w:r>
      <w:r w:rsidR="00E97625" w:rsidRPr="00A54538">
        <w:rPr>
          <w:rFonts w:ascii="Times New Roman" w:hAnsi="Times New Roman" w:cs="Times New Roman"/>
          <w:sz w:val="24"/>
          <w:szCs w:val="24"/>
        </w:rPr>
        <w:t>Las propuestas del Frente Amplio</w:t>
      </w:r>
    </w:p>
    <w:p w:rsidR="00E97625" w:rsidRPr="00E97625" w:rsidRDefault="00E97625" w:rsidP="005F7E04">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La elaboración de las propuestas programáticas de la izquierda uruguaya se articuló en varios ejes, uno de los cuales</w:t>
      </w:r>
      <w:del w:id="105" w:author="Claudia" w:date="2018-10-30T19:17:00Z">
        <w:r w:rsidRPr="00E97625" w:rsidDel="00B65804">
          <w:rPr>
            <w:rFonts w:ascii="Times New Roman" w:hAnsi="Times New Roman" w:cs="Times New Roman"/>
            <w:sz w:val="24"/>
            <w:szCs w:val="24"/>
          </w:rPr>
          <w:delText>,</w:delText>
        </w:r>
      </w:del>
      <w:ins w:id="106" w:author="Claudia" w:date="2018-10-30T19:17:00Z">
        <w:r w:rsidR="00B65804">
          <w:rPr>
            <w:rFonts w:ascii="Times New Roman" w:hAnsi="Times New Roman" w:cs="Times New Roman"/>
            <w:sz w:val="24"/>
            <w:szCs w:val="24"/>
          </w:rPr>
          <w:t xml:space="preserve"> fue</w:t>
        </w:r>
      </w:ins>
      <w:r w:rsidRPr="00E97625">
        <w:rPr>
          <w:rFonts w:ascii="Times New Roman" w:hAnsi="Times New Roman" w:cs="Times New Roman"/>
          <w:sz w:val="24"/>
          <w:szCs w:val="24"/>
        </w:rPr>
        <w:t xml:space="preserve"> el denominado Uruguay Social. A partir de la conformación de equipos y comisiones de trabajo, durante el período preelectoral</w:t>
      </w:r>
      <w:del w:id="107" w:author="Claudia" w:date="2018-10-30T19:17:00Z">
        <w:r w:rsidRPr="00E97625" w:rsidDel="00B65804">
          <w:rPr>
            <w:rFonts w:ascii="Times New Roman" w:hAnsi="Times New Roman" w:cs="Times New Roman"/>
            <w:sz w:val="24"/>
            <w:szCs w:val="24"/>
          </w:rPr>
          <w:delText>,</w:delText>
        </w:r>
      </w:del>
      <w:r w:rsidRPr="00E97625">
        <w:rPr>
          <w:rFonts w:ascii="Times New Roman" w:hAnsi="Times New Roman" w:cs="Times New Roman"/>
          <w:sz w:val="24"/>
          <w:szCs w:val="24"/>
        </w:rPr>
        <w:t xml:space="preserve"> la Unidad de Compromiso Social fue la responsable de elaborar las bases del programa en el área de las políticas sociales. En sus contenidos básicos se definieron varias medidas de corto plazo combinadas con las de largo plazo; en esta dirección debe consignarse que entre las primeras se diseñó el Plan de Atención Nacional a la Emergencia Social (PANES), que fuera a la sazón la ley promulgada por el Poder Ejecutivo (Ley N° 17.689, de emergencia social y de ingreso ciudadano, del 20 de mayo del 2005). Los siete componentes propuestos del PANES abarcaban la creación de un ingreso ciudadano o subsidio para los hogares en situación de extrema vulnerabilidad social; complementado con un Plan Alimentario Nacional (PAN), Programa de Emergencia Sanitaria, Programa Educación en Contextos Críticos, Programa de Empleo Transitorio, Programa Asentamientos Precarios y Pensiones, y finalmente un Programa de Alojamiento a las Personas en Situación de Calle.</w:t>
      </w:r>
    </w:p>
    <w:p w:rsidR="00E97625" w:rsidRDefault="00E97625" w:rsidP="005F7E04">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Paralelamente, la izquierda anunciaba una reforma integral del sistema de salud, el retorno a la modalidad de negociación colectiva (restableciendo el marco regulatorio en el campo de las relaciones laborales y el empleo), la expansión de la educación preescolar y la promoción de emprendimientos asociativos como uno de los vectores de generación de nuevo empleo para los desocupados de larga duración. Y en términos de política macroeconómica, no se preveían sustanciales modificaciones en el manejo de las variables fundamentales, aun cuando se incluyera en la agenda una reforma del sistema tributario, que finalmente se concretaría en el año 2008. Durante el segundo gobierno del Frente Amplio, se ampliaron los </w:t>
      </w:r>
      <w:proofErr w:type="spellStart"/>
      <w:r w:rsidRPr="00E97625">
        <w:rPr>
          <w:rFonts w:ascii="Times New Roman" w:hAnsi="Times New Roman" w:cs="Times New Roman"/>
          <w:i/>
          <w:sz w:val="24"/>
          <w:szCs w:val="24"/>
        </w:rPr>
        <w:t>issues</w:t>
      </w:r>
      <w:proofErr w:type="spellEnd"/>
      <w:r w:rsidRPr="00E97625">
        <w:rPr>
          <w:rFonts w:ascii="Times New Roman" w:hAnsi="Times New Roman" w:cs="Times New Roman"/>
          <w:sz w:val="24"/>
          <w:szCs w:val="24"/>
        </w:rPr>
        <w:t xml:space="preserve"> de la agenda política; proponiendo el diseño e instrumentación de un Sistema Nacional de Cuidados y el reconocimiento de derechos para colectivos vulnerables (homosexuales, </w:t>
      </w:r>
      <w:proofErr w:type="spellStart"/>
      <w:r w:rsidRPr="00E97625">
        <w:rPr>
          <w:rFonts w:ascii="Times New Roman" w:hAnsi="Times New Roman" w:cs="Times New Roman"/>
          <w:sz w:val="24"/>
          <w:szCs w:val="24"/>
        </w:rPr>
        <w:t>trans</w:t>
      </w:r>
      <w:proofErr w:type="spellEnd"/>
      <w:r w:rsidRPr="00E97625">
        <w:rPr>
          <w:rFonts w:ascii="Times New Roman" w:hAnsi="Times New Roman" w:cs="Times New Roman"/>
          <w:sz w:val="24"/>
          <w:szCs w:val="24"/>
        </w:rPr>
        <w:t xml:space="preserve">, afrodescendientes), y la jerarquización de medidas tendientes a la igualdad de género.  </w:t>
      </w:r>
    </w:p>
    <w:p w:rsidR="00E97625" w:rsidRPr="00A54538" w:rsidRDefault="00A54538" w:rsidP="00A54538">
      <w:pPr>
        <w:spacing w:after="0" w:line="480" w:lineRule="auto"/>
        <w:ind w:left="1069"/>
        <w:jc w:val="both"/>
        <w:rPr>
          <w:rFonts w:ascii="Times New Roman" w:hAnsi="Times New Roman" w:cs="Times New Roman"/>
          <w:sz w:val="24"/>
          <w:szCs w:val="24"/>
        </w:rPr>
      </w:pPr>
      <w:r>
        <w:rPr>
          <w:rFonts w:ascii="Times New Roman" w:hAnsi="Times New Roman" w:cs="Times New Roman"/>
          <w:sz w:val="24"/>
          <w:szCs w:val="24"/>
        </w:rPr>
        <w:t xml:space="preserve">b) </w:t>
      </w:r>
      <w:r w:rsidR="00E97625" w:rsidRPr="00A54538">
        <w:rPr>
          <w:rFonts w:ascii="Times New Roman" w:hAnsi="Times New Roman" w:cs="Times New Roman"/>
          <w:sz w:val="24"/>
          <w:szCs w:val="24"/>
        </w:rPr>
        <w:t>Los logros de la coalición de izquierda (2005-2015)</w:t>
      </w:r>
    </w:p>
    <w:p w:rsidR="008E2763" w:rsidRDefault="00E97625" w:rsidP="005F7E04">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De acuerdo a lo previsto en aquel plan de gobierno, el PANES fue ajustado e inmediatamente implementado al amparo de la norma sancionada en mayo de 2005. La cobertura alcanzó un porcentaje alto con relación al universo de la población considerada (97,6 %) según el Informe de Evaluación presentado por el propio Ministerio de Desarrollo Social en convenio con el Instituto de Economía (</w:t>
      </w:r>
      <w:commentRangeStart w:id="108"/>
      <w:proofErr w:type="spellStart"/>
      <w:r w:rsidRPr="00E97625">
        <w:rPr>
          <w:rFonts w:ascii="Times New Roman" w:hAnsi="Times New Roman" w:cs="Times New Roman"/>
          <w:sz w:val="24"/>
          <w:szCs w:val="24"/>
        </w:rPr>
        <w:t>Vigorito</w:t>
      </w:r>
      <w:commentRangeEnd w:id="108"/>
      <w:proofErr w:type="spellEnd"/>
      <w:r w:rsidR="00DF0482">
        <w:rPr>
          <w:rStyle w:val="Refdecomentario"/>
          <w:rFonts w:ascii="Times New Roman" w:eastAsia="SimSun" w:hAnsi="Times New Roman" w:cs="Mangal"/>
          <w:kern w:val="1"/>
          <w:lang w:val="es-UY" w:eastAsia="hi-IN" w:bidi="hi-IN"/>
        </w:rPr>
        <w:commentReference w:id="108"/>
      </w:r>
      <w:r w:rsidRPr="00E97625">
        <w:rPr>
          <w:rFonts w:ascii="Times New Roman" w:hAnsi="Times New Roman" w:cs="Times New Roman"/>
          <w:sz w:val="24"/>
          <w:szCs w:val="24"/>
        </w:rPr>
        <w:t xml:space="preserve"> et al, 2009). A diferencia de la mayoría de los programas de transferencias condicionadas en la región, el PANES tuvo una fecha de finalización, dándose en efecto por concluido en diciembre del año 2007. No obstante, el diseño de un Plan de Equidad (no previsto en el plan de gobierno del 2004), aseguró de alguna manera la continuidad de las prestaciones monetarias condicionadas, a través de la instauración del nuevo régimen de asignaciones familiares (AFAM), que amplió la cobertura para los niños, niñas y adolescentes de hogares que se encontraban bajo la línea de la pobreza en aquel año. </w:t>
      </w:r>
      <w:commentRangeStart w:id="109"/>
      <w:r w:rsidRPr="00E97625">
        <w:rPr>
          <w:rFonts w:ascii="Times New Roman" w:hAnsi="Times New Roman" w:cs="Times New Roman"/>
          <w:sz w:val="24"/>
          <w:szCs w:val="24"/>
        </w:rPr>
        <w:t>Como consecuencia o efecto inmediato</w:t>
      </w:r>
      <w:commentRangeEnd w:id="109"/>
      <w:r w:rsidR="00DF0482">
        <w:rPr>
          <w:rStyle w:val="Refdecomentario"/>
          <w:rFonts w:ascii="Times New Roman" w:eastAsia="SimSun" w:hAnsi="Times New Roman" w:cs="Mangal"/>
          <w:kern w:val="1"/>
          <w:lang w:val="es-UY" w:eastAsia="hi-IN" w:bidi="hi-IN"/>
        </w:rPr>
        <w:commentReference w:id="109"/>
      </w:r>
      <w:r w:rsidRPr="00E97625">
        <w:rPr>
          <w:rFonts w:ascii="Times New Roman" w:hAnsi="Times New Roman" w:cs="Times New Roman"/>
          <w:sz w:val="24"/>
          <w:szCs w:val="24"/>
        </w:rPr>
        <w:t xml:space="preserve">, la tasa de indigencia pasó del 1,9 % al 0,2 % en 2014, mientras que la pobreza registró un abrupto descenso en mismo período 2005-2015 según lo ilustra el siguiente Cuadro. </w:t>
      </w:r>
    </w:p>
    <w:p w:rsidR="00F001AA" w:rsidRDefault="00F001AA" w:rsidP="005F7E04">
      <w:pPr>
        <w:spacing w:after="0" w:line="480" w:lineRule="auto"/>
        <w:jc w:val="both"/>
        <w:rPr>
          <w:rFonts w:ascii="Times New Roman" w:hAnsi="Times New Roman" w:cs="Times New Roman"/>
          <w:sz w:val="24"/>
          <w:szCs w:val="24"/>
        </w:rPr>
      </w:pPr>
    </w:p>
    <w:p w:rsidR="00F001AA" w:rsidRDefault="00F001AA" w:rsidP="005F7E04">
      <w:pPr>
        <w:spacing w:after="0" w:line="480" w:lineRule="auto"/>
        <w:jc w:val="both"/>
        <w:rPr>
          <w:rFonts w:ascii="Times New Roman" w:hAnsi="Times New Roman" w:cs="Times New Roman"/>
          <w:sz w:val="24"/>
          <w:szCs w:val="24"/>
        </w:rPr>
      </w:pPr>
    </w:p>
    <w:p w:rsidR="008E2763" w:rsidRPr="002B775D" w:rsidRDefault="00965DFF" w:rsidP="00965DFF">
      <w:pPr>
        <w:spacing w:after="0" w:line="240" w:lineRule="auto"/>
        <w:jc w:val="center"/>
        <w:rPr>
          <w:rFonts w:ascii="Times New Roman" w:hAnsi="Times New Roman" w:cs="Times New Roman"/>
          <w:b/>
          <w:sz w:val="20"/>
          <w:szCs w:val="20"/>
        </w:rPr>
      </w:pPr>
      <w:r w:rsidRPr="002B775D">
        <w:rPr>
          <w:rFonts w:ascii="Times New Roman" w:hAnsi="Times New Roman" w:cs="Times New Roman"/>
          <w:b/>
          <w:sz w:val="20"/>
          <w:szCs w:val="20"/>
        </w:rPr>
        <w:t xml:space="preserve">Cuadro IV. </w:t>
      </w:r>
      <w:r w:rsidR="008E2763" w:rsidRPr="002B775D">
        <w:rPr>
          <w:rFonts w:ascii="Times New Roman" w:hAnsi="Times New Roman" w:cs="Times New Roman"/>
          <w:b/>
          <w:sz w:val="20"/>
          <w:szCs w:val="20"/>
        </w:rPr>
        <w:t xml:space="preserve">Evolución de la tasa de pobreza 2002 - </w:t>
      </w:r>
      <w:commentRangeStart w:id="110"/>
      <w:r w:rsidR="008E2763" w:rsidRPr="002B775D">
        <w:rPr>
          <w:rFonts w:ascii="Times New Roman" w:hAnsi="Times New Roman" w:cs="Times New Roman"/>
          <w:b/>
          <w:sz w:val="20"/>
          <w:szCs w:val="20"/>
        </w:rPr>
        <w:t>2015</w:t>
      </w:r>
      <w:commentRangeEnd w:id="110"/>
      <w:r w:rsidR="00574F86">
        <w:rPr>
          <w:rStyle w:val="Refdecomentario"/>
          <w:rFonts w:ascii="Times New Roman" w:eastAsia="SimSun" w:hAnsi="Times New Roman" w:cs="Mangal"/>
          <w:kern w:val="1"/>
          <w:lang w:val="es-UY" w:eastAsia="hi-IN" w:bidi="hi-IN"/>
        </w:rPr>
        <w:commentReference w:id="110"/>
      </w:r>
    </w:p>
    <w:tbl>
      <w:tblPr>
        <w:tblStyle w:val="Tablaconcuadrcula"/>
        <w:tblW w:w="8793" w:type="dxa"/>
        <w:tblLook w:val="04A0" w:firstRow="1" w:lastRow="0" w:firstColumn="1" w:lastColumn="0" w:noHBand="0" w:noVBand="1"/>
      </w:tblPr>
      <w:tblGrid>
        <w:gridCol w:w="576"/>
        <w:gridCol w:w="597"/>
        <w:gridCol w:w="597"/>
        <w:gridCol w:w="597"/>
        <w:gridCol w:w="597"/>
        <w:gridCol w:w="597"/>
        <w:gridCol w:w="636"/>
        <w:gridCol w:w="597"/>
        <w:gridCol w:w="597"/>
        <w:gridCol w:w="597"/>
        <w:gridCol w:w="561"/>
        <w:gridCol w:w="561"/>
        <w:gridCol w:w="561"/>
        <w:gridCol w:w="561"/>
        <w:gridCol w:w="561"/>
      </w:tblGrid>
      <w:tr w:rsidR="00965DFF" w:rsidRPr="00965DFF" w:rsidTr="00965DFF">
        <w:trPr>
          <w:trHeight w:val="606"/>
        </w:trPr>
        <w:tc>
          <w:tcPr>
            <w:tcW w:w="576" w:type="dxa"/>
          </w:tcPr>
          <w:p w:rsidR="00965DFF" w:rsidRPr="002B775D" w:rsidRDefault="00965DFF" w:rsidP="00965DFF">
            <w:pPr>
              <w:jc w:val="both"/>
              <w:rPr>
                <w:rFonts w:ascii="Times New Roman" w:hAnsi="Times New Roman" w:cs="Times New Roman"/>
                <w:b/>
                <w:sz w:val="20"/>
                <w:szCs w:val="20"/>
              </w:rPr>
            </w:pPr>
            <w:r w:rsidRPr="002B775D">
              <w:rPr>
                <w:rFonts w:ascii="Times New Roman" w:hAnsi="Times New Roman" w:cs="Times New Roman"/>
                <w:b/>
                <w:sz w:val="20"/>
                <w:szCs w:val="20"/>
              </w:rPr>
              <w:t>año</w:t>
            </w:r>
          </w:p>
        </w:tc>
        <w:tc>
          <w:tcPr>
            <w:tcW w:w="597" w:type="dxa"/>
          </w:tcPr>
          <w:p w:rsidR="00965DFF" w:rsidRPr="00965DFF" w:rsidRDefault="00965DFF" w:rsidP="00965DFF">
            <w:pPr>
              <w:jc w:val="both"/>
              <w:rPr>
                <w:rFonts w:ascii="Times New Roman" w:hAnsi="Times New Roman" w:cs="Times New Roman"/>
                <w:sz w:val="16"/>
                <w:szCs w:val="16"/>
              </w:rPr>
            </w:pPr>
            <w:r w:rsidRPr="00965DFF">
              <w:rPr>
                <w:rFonts w:ascii="Times New Roman" w:hAnsi="Times New Roman" w:cs="Times New Roman"/>
                <w:sz w:val="16"/>
                <w:szCs w:val="16"/>
              </w:rPr>
              <w:t>2002</w:t>
            </w:r>
          </w:p>
        </w:tc>
        <w:tc>
          <w:tcPr>
            <w:tcW w:w="597" w:type="dxa"/>
          </w:tcPr>
          <w:p w:rsidR="00965DFF" w:rsidRPr="00965DFF" w:rsidRDefault="00965DFF" w:rsidP="00965DFF">
            <w:pPr>
              <w:jc w:val="both"/>
              <w:rPr>
                <w:rFonts w:ascii="Times New Roman" w:hAnsi="Times New Roman" w:cs="Times New Roman"/>
                <w:sz w:val="16"/>
                <w:szCs w:val="16"/>
              </w:rPr>
            </w:pPr>
            <w:r w:rsidRPr="00965DFF">
              <w:rPr>
                <w:rFonts w:ascii="Times New Roman" w:hAnsi="Times New Roman" w:cs="Times New Roman"/>
                <w:sz w:val="16"/>
                <w:szCs w:val="16"/>
              </w:rPr>
              <w:t>2003</w:t>
            </w:r>
          </w:p>
        </w:tc>
        <w:tc>
          <w:tcPr>
            <w:tcW w:w="597" w:type="dxa"/>
          </w:tcPr>
          <w:p w:rsidR="00965DFF" w:rsidRPr="00965DFF" w:rsidRDefault="00965DFF" w:rsidP="00965DFF">
            <w:pPr>
              <w:jc w:val="both"/>
              <w:rPr>
                <w:rFonts w:ascii="Times New Roman" w:hAnsi="Times New Roman" w:cs="Times New Roman"/>
                <w:sz w:val="16"/>
                <w:szCs w:val="16"/>
              </w:rPr>
            </w:pPr>
            <w:r w:rsidRPr="00965DFF">
              <w:rPr>
                <w:rFonts w:ascii="Times New Roman" w:hAnsi="Times New Roman" w:cs="Times New Roman"/>
                <w:sz w:val="16"/>
                <w:szCs w:val="16"/>
              </w:rPr>
              <w:t>2004</w:t>
            </w:r>
          </w:p>
        </w:tc>
        <w:tc>
          <w:tcPr>
            <w:tcW w:w="597" w:type="dxa"/>
          </w:tcPr>
          <w:p w:rsidR="00965DFF" w:rsidRP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2005</w:t>
            </w:r>
          </w:p>
        </w:tc>
        <w:tc>
          <w:tcPr>
            <w:tcW w:w="597" w:type="dxa"/>
          </w:tcPr>
          <w:p w:rsidR="00965DFF" w:rsidRP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2006</w:t>
            </w:r>
          </w:p>
        </w:tc>
        <w:tc>
          <w:tcPr>
            <w:tcW w:w="636" w:type="dxa"/>
          </w:tcPr>
          <w:p w:rsidR="00965DFF" w:rsidRP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2007</w:t>
            </w:r>
          </w:p>
        </w:tc>
        <w:tc>
          <w:tcPr>
            <w:tcW w:w="597" w:type="dxa"/>
          </w:tcPr>
          <w:p w:rsidR="00965DFF" w:rsidRP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2008</w:t>
            </w:r>
          </w:p>
        </w:tc>
        <w:tc>
          <w:tcPr>
            <w:tcW w:w="597" w:type="dxa"/>
          </w:tcPr>
          <w:p w:rsidR="00965DFF" w:rsidRP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2009</w:t>
            </w:r>
          </w:p>
        </w:tc>
        <w:tc>
          <w:tcPr>
            <w:tcW w:w="597" w:type="dxa"/>
          </w:tcPr>
          <w:p w:rsidR="00965DFF" w:rsidRP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2010</w:t>
            </w:r>
          </w:p>
        </w:tc>
        <w:tc>
          <w:tcPr>
            <w:tcW w:w="561" w:type="dxa"/>
          </w:tcPr>
          <w:p w:rsid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2011</w:t>
            </w:r>
          </w:p>
        </w:tc>
        <w:tc>
          <w:tcPr>
            <w:tcW w:w="561" w:type="dxa"/>
          </w:tcPr>
          <w:p w:rsid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2012</w:t>
            </w:r>
          </w:p>
        </w:tc>
        <w:tc>
          <w:tcPr>
            <w:tcW w:w="561" w:type="dxa"/>
          </w:tcPr>
          <w:p w:rsid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2013</w:t>
            </w:r>
          </w:p>
        </w:tc>
        <w:tc>
          <w:tcPr>
            <w:tcW w:w="561" w:type="dxa"/>
          </w:tcPr>
          <w:p w:rsid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2014</w:t>
            </w:r>
          </w:p>
        </w:tc>
        <w:tc>
          <w:tcPr>
            <w:tcW w:w="561" w:type="dxa"/>
          </w:tcPr>
          <w:p w:rsidR="00965DFF" w:rsidRDefault="00965DFF" w:rsidP="00965DFF">
            <w:pPr>
              <w:jc w:val="both"/>
              <w:rPr>
                <w:rFonts w:ascii="Times New Roman" w:hAnsi="Times New Roman" w:cs="Times New Roman"/>
                <w:sz w:val="16"/>
                <w:szCs w:val="16"/>
              </w:rPr>
            </w:pPr>
            <w:r>
              <w:rPr>
                <w:rFonts w:ascii="Times New Roman" w:hAnsi="Times New Roman" w:cs="Times New Roman"/>
                <w:sz w:val="16"/>
                <w:szCs w:val="16"/>
              </w:rPr>
              <w:t>2015</w:t>
            </w:r>
          </w:p>
        </w:tc>
      </w:tr>
      <w:tr w:rsidR="00965DFF" w:rsidRPr="00965DFF" w:rsidTr="00965DFF">
        <w:trPr>
          <w:trHeight w:val="625"/>
        </w:trPr>
        <w:tc>
          <w:tcPr>
            <w:tcW w:w="576" w:type="dxa"/>
          </w:tcPr>
          <w:p w:rsidR="00965DFF" w:rsidRPr="002B775D" w:rsidRDefault="00965DFF" w:rsidP="00965DFF">
            <w:pPr>
              <w:jc w:val="both"/>
              <w:rPr>
                <w:rFonts w:ascii="Times New Roman" w:hAnsi="Times New Roman" w:cs="Times New Roman"/>
                <w:b/>
                <w:sz w:val="20"/>
                <w:szCs w:val="20"/>
              </w:rPr>
            </w:pPr>
            <w:r w:rsidRPr="002B775D">
              <w:rPr>
                <w:rFonts w:ascii="Times New Roman" w:hAnsi="Times New Roman" w:cs="Times New Roman"/>
                <w:b/>
                <w:sz w:val="20"/>
                <w:szCs w:val="20"/>
              </w:rPr>
              <w:t>tasa</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25,8</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29,4</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29,9</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27,1</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24,2</w:t>
            </w:r>
          </w:p>
        </w:tc>
        <w:tc>
          <w:tcPr>
            <w:tcW w:w="636"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21,5</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17,5</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15,1</w:t>
            </w:r>
          </w:p>
        </w:tc>
        <w:tc>
          <w:tcPr>
            <w:tcW w:w="597" w:type="dxa"/>
          </w:tcPr>
          <w:p w:rsidR="00965DFF" w:rsidRPr="008E2763" w:rsidRDefault="00965DFF" w:rsidP="00965DFF">
            <w:pPr>
              <w:jc w:val="right"/>
              <w:rPr>
                <w:rFonts w:ascii="Verdana" w:eastAsia="Times New Roman" w:hAnsi="Verdana" w:cs="Times New Roman"/>
                <w:color w:val="3D3D3D"/>
                <w:sz w:val="16"/>
                <w:szCs w:val="16"/>
                <w:lang w:val="es-UY" w:eastAsia="es-UY"/>
              </w:rPr>
            </w:pPr>
            <w:r w:rsidRPr="008E2763">
              <w:rPr>
                <w:rFonts w:ascii="Verdana" w:eastAsia="Times New Roman" w:hAnsi="Verdana" w:cs="Times New Roman"/>
                <w:color w:val="3D3D3D"/>
                <w:sz w:val="16"/>
                <w:szCs w:val="16"/>
                <w:lang w:val="es-UY" w:eastAsia="es-UY"/>
              </w:rPr>
              <w:t>12,6</w:t>
            </w:r>
          </w:p>
        </w:tc>
        <w:tc>
          <w:tcPr>
            <w:tcW w:w="561" w:type="dxa"/>
          </w:tcPr>
          <w:p w:rsidR="00965DFF" w:rsidRPr="008E2763" w:rsidRDefault="00965DFF" w:rsidP="00965DFF">
            <w:pPr>
              <w:jc w:val="right"/>
              <w:rPr>
                <w:rFonts w:ascii="Verdana" w:eastAsia="Times New Roman" w:hAnsi="Verdana" w:cs="Times New Roman"/>
                <w:color w:val="3D3D3D"/>
                <w:sz w:val="16"/>
                <w:szCs w:val="16"/>
                <w:lang w:val="es-UY" w:eastAsia="es-UY"/>
              </w:rPr>
            </w:pPr>
            <w:r>
              <w:rPr>
                <w:rFonts w:ascii="Verdana" w:eastAsia="Times New Roman" w:hAnsi="Verdana" w:cs="Times New Roman"/>
                <w:color w:val="3D3D3D"/>
                <w:sz w:val="16"/>
                <w:szCs w:val="16"/>
                <w:lang w:val="es-UY" w:eastAsia="es-UY"/>
              </w:rPr>
              <w:t>9,8</w:t>
            </w:r>
          </w:p>
        </w:tc>
        <w:tc>
          <w:tcPr>
            <w:tcW w:w="561" w:type="dxa"/>
          </w:tcPr>
          <w:p w:rsidR="00965DFF" w:rsidRPr="008E2763" w:rsidRDefault="00965DFF" w:rsidP="00965DFF">
            <w:pPr>
              <w:jc w:val="right"/>
              <w:rPr>
                <w:rFonts w:ascii="Verdana" w:eastAsia="Times New Roman" w:hAnsi="Verdana" w:cs="Times New Roman"/>
                <w:color w:val="3D3D3D"/>
                <w:sz w:val="16"/>
                <w:szCs w:val="16"/>
                <w:lang w:val="es-UY" w:eastAsia="es-UY"/>
              </w:rPr>
            </w:pPr>
            <w:r>
              <w:rPr>
                <w:rFonts w:ascii="Verdana" w:eastAsia="Times New Roman" w:hAnsi="Verdana" w:cs="Times New Roman"/>
                <w:color w:val="3D3D3D"/>
                <w:sz w:val="16"/>
                <w:szCs w:val="16"/>
                <w:lang w:val="es-UY" w:eastAsia="es-UY"/>
              </w:rPr>
              <w:t>8,9</w:t>
            </w:r>
          </w:p>
        </w:tc>
        <w:tc>
          <w:tcPr>
            <w:tcW w:w="561" w:type="dxa"/>
          </w:tcPr>
          <w:p w:rsidR="00965DFF" w:rsidRPr="008E2763" w:rsidRDefault="00965DFF" w:rsidP="00965DFF">
            <w:pPr>
              <w:jc w:val="right"/>
              <w:rPr>
                <w:rFonts w:ascii="Verdana" w:eastAsia="Times New Roman" w:hAnsi="Verdana" w:cs="Times New Roman"/>
                <w:color w:val="3D3D3D"/>
                <w:sz w:val="16"/>
                <w:szCs w:val="16"/>
                <w:lang w:val="es-UY" w:eastAsia="es-UY"/>
              </w:rPr>
            </w:pPr>
            <w:r>
              <w:rPr>
                <w:rFonts w:ascii="Verdana" w:eastAsia="Times New Roman" w:hAnsi="Verdana" w:cs="Times New Roman"/>
                <w:color w:val="3D3D3D"/>
                <w:sz w:val="16"/>
                <w:szCs w:val="16"/>
                <w:lang w:val="es-UY" w:eastAsia="es-UY"/>
              </w:rPr>
              <w:t>8,0</w:t>
            </w:r>
          </w:p>
        </w:tc>
        <w:tc>
          <w:tcPr>
            <w:tcW w:w="561" w:type="dxa"/>
          </w:tcPr>
          <w:p w:rsidR="00965DFF" w:rsidRPr="008E2763" w:rsidRDefault="00965DFF" w:rsidP="00965DFF">
            <w:pPr>
              <w:jc w:val="right"/>
              <w:rPr>
                <w:rFonts w:ascii="Verdana" w:eastAsia="Times New Roman" w:hAnsi="Verdana" w:cs="Times New Roman"/>
                <w:color w:val="3D3D3D"/>
                <w:sz w:val="16"/>
                <w:szCs w:val="16"/>
                <w:lang w:val="es-UY" w:eastAsia="es-UY"/>
              </w:rPr>
            </w:pPr>
            <w:r>
              <w:rPr>
                <w:rFonts w:ascii="Verdana" w:eastAsia="Times New Roman" w:hAnsi="Verdana" w:cs="Times New Roman"/>
                <w:color w:val="3D3D3D"/>
                <w:sz w:val="16"/>
                <w:szCs w:val="16"/>
                <w:lang w:val="es-UY" w:eastAsia="es-UY"/>
              </w:rPr>
              <w:t>6,7</w:t>
            </w:r>
          </w:p>
        </w:tc>
        <w:tc>
          <w:tcPr>
            <w:tcW w:w="561" w:type="dxa"/>
          </w:tcPr>
          <w:p w:rsidR="00965DFF" w:rsidRPr="008E2763" w:rsidRDefault="00965DFF" w:rsidP="00965DFF">
            <w:pPr>
              <w:jc w:val="right"/>
              <w:rPr>
                <w:rFonts w:ascii="Verdana" w:eastAsia="Times New Roman" w:hAnsi="Verdana" w:cs="Times New Roman"/>
                <w:color w:val="3D3D3D"/>
                <w:sz w:val="16"/>
                <w:szCs w:val="16"/>
                <w:lang w:val="es-UY" w:eastAsia="es-UY"/>
              </w:rPr>
            </w:pPr>
            <w:r>
              <w:rPr>
                <w:rFonts w:ascii="Verdana" w:eastAsia="Times New Roman" w:hAnsi="Verdana" w:cs="Times New Roman"/>
                <w:color w:val="3D3D3D"/>
                <w:sz w:val="16"/>
                <w:szCs w:val="16"/>
                <w:lang w:val="es-UY" w:eastAsia="es-UY"/>
              </w:rPr>
              <w:t>6,8</w:t>
            </w:r>
          </w:p>
        </w:tc>
      </w:tr>
    </w:tbl>
    <w:p w:rsidR="008E2763" w:rsidRPr="00965DFF" w:rsidRDefault="00965DFF" w:rsidP="005F7E04">
      <w:pPr>
        <w:spacing w:after="0" w:line="480" w:lineRule="auto"/>
        <w:jc w:val="both"/>
        <w:rPr>
          <w:rFonts w:ascii="Times New Roman" w:hAnsi="Times New Roman" w:cs="Times New Roman"/>
          <w:sz w:val="20"/>
          <w:szCs w:val="20"/>
        </w:rPr>
      </w:pPr>
      <w:r w:rsidRPr="00965DFF">
        <w:rPr>
          <w:rFonts w:ascii="Times New Roman" w:hAnsi="Times New Roman" w:cs="Times New Roman"/>
          <w:sz w:val="20"/>
          <w:szCs w:val="20"/>
        </w:rPr>
        <w:t>Fuente: INE, 2017</w:t>
      </w:r>
    </w:p>
    <w:p w:rsidR="00E97625" w:rsidRDefault="00E97625" w:rsidP="005F7E04">
      <w:pPr>
        <w:spacing w:after="0" w:line="480" w:lineRule="auto"/>
        <w:jc w:val="both"/>
        <w:rPr>
          <w:rFonts w:ascii="Times New Roman" w:hAnsi="Times New Roman" w:cs="Times New Roman"/>
          <w:sz w:val="24"/>
          <w:szCs w:val="24"/>
        </w:rPr>
      </w:pPr>
      <w:r w:rsidRPr="00E97625">
        <w:rPr>
          <w:rFonts w:ascii="Times New Roman" w:hAnsi="Times New Roman" w:cs="Times New Roman"/>
          <w:sz w:val="24"/>
          <w:szCs w:val="24"/>
        </w:rPr>
        <w:t xml:space="preserve">Los múltiples informes de evaluación y análisis de los </w:t>
      </w:r>
      <w:r w:rsidRPr="005E520A">
        <w:rPr>
          <w:rFonts w:ascii="Times New Roman" w:hAnsi="Times New Roman" w:cs="Times New Roman"/>
          <w:sz w:val="24"/>
          <w:szCs w:val="24"/>
          <w:highlight w:val="lightGray"/>
          <w:rPrChange w:id="111" w:author="Claudia" w:date="2018-10-30T19:29:00Z">
            <w:rPr>
              <w:rFonts w:ascii="Times New Roman" w:hAnsi="Times New Roman" w:cs="Times New Roman"/>
              <w:sz w:val="24"/>
              <w:szCs w:val="24"/>
            </w:rPr>
          </w:rPrChange>
        </w:rPr>
        <w:t>impactos</w:t>
      </w:r>
      <w:r w:rsidRPr="00E97625">
        <w:rPr>
          <w:rFonts w:ascii="Times New Roman" w:hAnsi="Times New Roman" w:cs="Times New Roman"/>
          <w:sz w:val="24"/>
          <w:szCs w:val="24"/>
        </w:rPr>
        <w:t xml:space="preserve"> del PANES, argumentan que dicho programa </w:t>
      </w:r>
      <w:commentRangeStart w:id="112"/>
      <w:r w:rsidRPr="00E97625">
        <w:rPr>
          <w:rFonts w:ascii="Times New Roman" w:hAnsi="Times New Roman" w:cs="Times New Roman"/>
          <w:sz w:val="24"/>
          <w:szCs w:val="24"/>
        </w:rPr>
        <w:t>impactó</w:t>
      </w:r>
      <w:commentRangeEnd w:id="112"/>
      <w:r w:rsidR="005E520A">
        <w:rPr>
          <w:rStyle w:val="Refdecomentario"/>
          <w:rFonts w:ascii="Times New Roman" w:eastAsia="SimSun" w:hAnsi="Times New Roman" w:cs="Mangal"/>
          <w:kern w:val="1"/>
          <w:lang w:val="es-UY" w:eastAsia="hi-IN" w:bidi="hi-IN"/>
        </w:rPr>
        <w:commentReference w:id="112"/>
      </w:r>
      <w:r w:rsidRPr="00E97625">
        <w:rPr>
          <w:rFonts w:ascii="Times New Roman" w:hAnsi="Times New Roman" w:cs="Times New Roman"/>
          <w:sz w:val="24"/>
          <w:szCs w:val="24"/>
        </w:rPr>
        <w:t xml:space="preserve"> sobre todo en el descenso sensible de la extrema pobreza y en menor medida en la tasa de pobreza, cuyo descenso sería explicado por la baja del desempleo y el incremento relativo del ingreso de los hogares en situación de vulnerabilidad socioeconómica. </w:t>
      </w:r>
      <w:r w:rsidR="000739EE">
        <w:rPr>
          <w:rFonts w:ascii="Times New Roman" w:hAnsi="Times New Roman" w:cs="Times New Roman"/>
          <w:sz w:val="24"/>
          <w:szCs w:val="24"/>
        </w:rPr>
        <w:t xml:space="preserve">Las intervenciones del gobierno progresista en la fijación del Salario Mínimo Nacional, habida cuenta </w:t>
      </w:r>
      <w:ins w:id="113" w:author="Claudia" w:date="2018-10-30T19:30:00Z">
        <w:r w:rsidR="005E520A">
          <w:rPr>
            <w:rFonts w:ascii="Times New Roman" w:hAnsi="Times New Roman" w:cs="Times New Roman"/>
            <w:sz w:val="24"/>
            <w:szCs w:val="24"/>
          </w:rPr>
          <w:t xml:space="preserve">de </w:t>
        </w:r>
      </w:ins>
      <w:r w:rsidR="000739EE">
        <w:rPr>
          <w:rFonts w:ascii="Times New Roman" w:hAnsi="Times New Roman" w:cs="Times New Roman"/>
          <w:sz w:val="24"/>
          <w:szCs w:val="24"/>
        </w:rPr>
        <w:t xml:space="preserve">que sirve de parámetro no solo en el mercado laboral, revelan la inquietud pronunciada </w:t>
      </w:r>
      <w:del w:id="114" w:author="Claudia" w:date="2018-10-30T19:32:00Z">
        <w:r w:rsidR="000739EE" w:rsidDel="00574F86">
          <w:rPr>
            <w:rFonts w:ascii="Times New Roman" w:hAnsi="Times New Roman" w:cs="Times New Roman"/>
            <w:sz w:val="24"/>
            <w:szCs w:val="24"/>
          </w:rPr>
          <w:delText xml:space="preserve">en </w:delText>
        </w:r>
      </w:del>
      <w:ins w:id="115" w:author="Claudia" w:date="2018-10-30T19:32:00Z">
        <w:r w:rsidR="00574F86">
          <w:rPr>
            <w:rFonts w:ascii="Times New Roman" w:hAnsi="Times New Roman" w:cs="Times New Roman"/>
            <w:sz w:val="24"/>
            <w:szCs w:val="24"/>
          </w:rPr>
          <w:t xml:space="preserve">por </w:t>
        </w:r>
      </w:ins>
      <w:r w:rsidR="000739EE">
        <w:rPr>
          <w:rFonts w:ascii="Times New Roman" w:hAnsi="Times New Roman" w:cs="Times New Roman"/>
          <w:sz w:val="24"/>
          <w:szCs w:val="24"/>
        </w:rPr>
        <w:t xml:space="preserve">la mejora de los ingresos familiares tal como lo ilustra el siguiente Cuadro. </w:t>
      </w:r>
    </w:p>
    <w:p w:rsidR="00BD3519" w:rsidRPr="00BC06A0" w:rsidRDefault="00BD3519" w:rsidP="00BD3519">
      <w:pPr>
        <w:spacing w:after="0" w:line="240" w:lineRule="auto"/>
        <w:jc w:val="center"/>
        <w:rPr>
          <w:rFonts w:ascii="Times New Roman" w:hAnsi="Times New Roman" w:cs="Times New Roman"/>
          <w:b/>
          <w:sz w:val="20"/>
          <w:szCs w:val="20"/>
        </w:rPr>
      </w:pPr>
      <w:r w:rsidRPr="00BC06A0">
        <w:rPr>
          <w:rFonts w:ascii="Times New Roman" w:hAnsi="Times New Roman" w:cs="Times New Roman"/>
          <w:b/>
          <w:sz w:val="20"/>
          <w:szCs w:val="20"/>
        </w:rPr>
        <w:t>Cuadro V. Evolución del Salario Mínimo Nacional 2002-</w:t>
      </w:r>
      <w:commentRangeStart w:id="116"/>
      <w:r w:rsidRPr="00BC06A0">
        <w:rPr>
          <w:rFonts w:ascii="Times New Roman" w:hAnsi="Times New Roman" w:cs="Times New Roman"/>
          <w:b/>
          <w:sz w:val="20"/>
          <w:szCs w:val="20"/>
        </w:rPr>
        <w:t>2016</w:t>
      </w:r>
      <w:commentRangeEnd w:id="116"/>
      <w:r w:rsidR="00574F86">
        <w:rPr>
          <w:rStyle w:val="Refdecomentario"/>
          <w:rFonts w:ascii="Times New Roman" w:eastAsia="SimSun" w:hAnsi="Times New Roman" w:cs="Mangal"/>
          <w:kern w:val="1"/>
          <w:lang w:val="es-UY" w:eastAsia="hi-IN" w:bidi="hi-IN"/>
        </w:rPr>
        <w:commentReference w:id="116"/>
      </w:r>
    </w:p>
    <w:tbl>
      <w:tblPr>
        <w:tblW w:w="8850" w:type="dxa"/>
        <w:tblInd w:w="-152" w:type="dxa"/>
        <w:tblCellMar>
          <w:top w:w="15" w:type="dxa"/>
          <w:left w:w="15" w:type="dxa"/>
          <w:bottom w:w="15" w:type="dxa"/>
          <w:right w:w="15" w:type="dxa"/>
        </w:tblCellMar>
        <w:tblLook w:val="04A0" w:firstRow="1" w:lastRow="0" w:firstColumn="1" w:lastColumn="0" w:noHBand="0" w:noVBand="1"/>
      </w:tblPr>
      <w:tblGrid>
        <w:gridCol w:w="1095"/>
        <w:gridCol w:w="517"/>
        <w:gridCol w:w="517"/>
        <w:gridCol w:w="517"/>
        <w:gridCol w:w="517"/>
        <w:gridCol w:w="517"/>
        <w:gridCol w:w="517"/>
        <w:gridCol w:w="517"/>
        <w:gridCol w:w="517"/>
        <w:gridCol w:w="517"/>
        <w:gridCol w:w="517"/>
        <w:gridCol w:w="517"/>
        <w:gridCol w:w="517"/>
        <w:gridCol w:w="517"/>
        <w:gridCol w:w="517"/>
        <w:gridCol w:w="517"/>
      </w:tblGrid>
      <w:tr w:rsidR="00BD3519" w:rsidRPr="00BD3519" w:rsidTr="002B775D">
        <w:trPr>
          <w:trHeight w:val="322"/>
        </w:trPr>
        <w:tc>
          <w:tcPr>
            <w:tcW w:w="1095" w:type="dxa"/>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2B775D" w:rsidRDefault="00BD3519" w:rsidP="00BD3519">
            <w:pPr>
              <w:spacing w:after="0" w:line="240" w:lineRule="auto"/>
              <w:jc w:val="both"/>
              <w:rPr>
                <w:rFonts w:ascii="Times New Roman" w:eastAsia="Times New Roman" w:hAnsi="Times New Roman" w:cs="Times New Roman"/>
                <w:b/>
                <w:sz w:val="16"/>
                <w:szCs w:val="16"/>
                <w:lang w:val="es-UY" w:eastAsia="es-UY"/>
              </w:rPr>
            </w:pPr>
            <w:r w:rsidRPr="002B775D">
              <w:rPr>
                <w:rFonts w:ascii="Times New Roman" w:eastAsia="Times New Roman" w:hAnsi="Times New Roman" w:cs="Times New Roman"/>
                <w:b/>
                <w:bCs/>
                <w:color w:val="000000"/>
                <w:sz w:val="16"/>
                <w:szCs w:val="16"/>
                <w:lang w:val="es-UY" w:eastAsia="es-UY"/>
              </w:rPr>
              <w:t>Año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2008</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2009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b/>
                <w:bCs/>
                <w:color w:val="000000"/>
                <w:sz w:val="16"/>
                <w:szCs w:val="16"/>
                <w:lang w:val="es-UY" w:eastAsia="es-UY"/>
              </w:rPr>
              <w:t>2016</w:t>
            </w:r>
          </w:p>
        </w:tc>
      </w:tr>
      <w:tr w:rsidR="00BD3519" w:rsidRPr="00BD3519" w:rsidTr="002B775D">
        <w:trPr>
          <w:trHeight w:val="360"/>
        </w:trPr>
        <w:tc>
          <w:tcPr>
            <w:tcW w:w="1095" w:type="dxa"/>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2B775D" w:rsidRDefault="000739EE" w:rsidP="00BD3519">
            <w:pPr>
              <w:spacing w:after="0" w:line="240" w:lineRule="auto"/>
              <w:jc w:val="both"/>
              <w:rPr>
                <w:rFonts w:ascii="Times New Roman" w:eastAsia="Times New Roman" w:hAnsi="Times New Roman" w:cs="Times New Roman"/>
                <w:b/>
                <w:sz w:val="16"/>
                <w:szCs w:val="16"/>
                <w:lang w:val="es-UY" w:eastAsia="es-UY"/>
              </w:rPr>
            </w:pPr>
            <w:r w:rsidRPr="002B775D">
              <w:rPr>
                <w:rFonts w:ascii="Times New Roman" w:eastAsia="Times New Roman" w:hAnsi="Times New Roman" w:cs="Times New Roman"/>
                <w:b/>
                <w:sz w:val="16"/>
                <w:szCs w:val="16"/>
                <w:lang w:val="es-UY" w:eastAsia="es-UY"/>
              </w:rPr>
              <w:t xml:space="preserve">Índice </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111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114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124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205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261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307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341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444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479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600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720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792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896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1000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BD3519" w:rsidRPr="00BD3519" w:rsidRDefault="00BD3519" w:rsidP="00BD3519">
            <w:pPr>
              <w:spacing w:after="0" w:line="240" w:lineRule="auto"/>
              <w:jc w:val="both"/>
              <w:rPr>
                <w:rFonts w:ascii="Times New Roman" w:eastAsia="Times New Roman" w:hAnsi="Times New Roman" w:cs="Times New Roman"/>
                <w:sz w:val="16"/>
                <w:szCs w:val="16"/>
                <w:lang w:val="es-UY" w:eastAsia="es-UY"/>
              </w:rPr>
            </w:pPr>
            <w:r w:rsidRPr="00BD3519">
              <w:rPr>
                <w:rFonts w:ascii="Times New Roman" w:eastAsia="Times New Roman" w:hAnsi="Times New Roman" w:cs="Times New Roman"/>
                <w:color w:val="000000"/>
                <w:sz w:val="16"/>
                <w:szCs w:val="16"/>
                <w:lang w:val="es-UY" w:eastAsia="es-UY"/>
              </w:rPr>
              <w:t>1115</w:t>
            </w:r>
          </w:p>
        </w:tc>
      </w:tr>
    </w:tbl>
    <w:p w:rsidR="00E97625" w:rsidRPr="002C67E0" w:rsidRDefault="00BD3519" w:rsidP="00BD3519">
      <w:pPr>
        <w:spacing w:after="0" w:line="240" w:lineRule="auto"/>
        <w:jc w:val="both"/>
        <w:rPr>
          <w:rFonts w:ascii="Times New Roman" w:hAnsi="Times New Roman" w:cs="Times New Roman"/>
          <w:sz w:val="20"/>
          <w:szCs w:val="20"/>
        </w:rPr>
      </w:pPr>
      <w:r w:rsidRPr="002C67E0">
        <w:rPr>
          <w:rFonts w:ascii="Times New Roman" w:hAnsi="Times New Roman" w:cs="Times New Roman"/>
          <w:sz w:val="20"/>
          <w:szCs w:val="20"/>
        </w:rPr>
        <w:t>Fuente: Observatorio Social del Mides, 2017</w:t>
      </w:r>
    </w:p>
    <w:p w:rsidR="002C67E0" w:rsidRDefault="002C67E0" w:rsidP="00BD3519">
      <w:pPr>
        <w:spacing w:after="0" w:line="240" w:lineRule="auto"/>
        <w:jc w:val="both"/>
        <w:rPr>
          <w:rFonts w:ascii="Times New Roman" w:hAnsi="Times New Roman" w:cs="Times New Roman"/>
          <w:sz w:val="24"/>
          <w:szCs w:val="24"/>
        </w:rPr>
      </w:pPr>
    </w:p>
    <w:p w:rsidR="003F5E70" w:rsidRDefault="000739EE" w:rsidP="000739E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Por otra parte, la reactivación productiva efectivamente registrada en el período pos crisis, sumada a la regulación laboral vía la negociación colectiva, habilitó el sensible descenso del desempleo, el incremento de la tasa activa de empleo y consecuentemente, la mayor inclusión de contingentes de trabajadores al sistema previsional.   </w:t>
      </w:r>
    </w:p>
    <w:p w:rsidR="003F5E70" w:rsidRDefault="003F5E70" w:rsidP="000739EE">
      <w:pPr>
        <w:spacing w:after="0" w:line="240" w:lineRule="auto"/>
        <w:jc w:val="center"/>
        <w:rPr>
          <w:rFonts w:ascii="Times New Roman" w:hAnsi="Times New Roman" w:cs="Times New Roman"/>
          <w:b/>
          <w:sz w:val="20"/>
          <w:szCs w:val="20"/>
        </w:rPr>
      </w:pPr>
    </w:p>
    <w:p w:rsidR="002C67E0" w:rsidRPr="002C67E0" w:rsidRDefault="00BC06A0" w:rsidP="000739EE">
      <w:pPr>
        <w:spacing w:after="0" w:line="240" w:lineRule="auto"/>
        <w:jc w:val="center"/>
        <w:rPr>
          <w:rFonts w:ascii="Times New Roman" w:hAnsi="Times New Roman" w:cs="Times New Roman"/>
          <w:sz w:val="20"/>
          <w:szCs w:val="20"/>
        </w:rPr>
      </w:pPr>
      <w:r w:rsidRPr="00BC06A0">
        <w:rPr>
          <w:rFonts w:ascii="Times New Roman" w:hAnsi="Times New Roman" w:cs="Times New Roman"/>
          <w:b/>
          <w:sz w:val="20"/>
          <w:szCs w:val="20"/>
        </w:rPr>
        <w:t>Cuadro V</w:t>
      </w:r>
      <w:r w:rsidR="008F0025">
        <w:rPr>
          <w:rFonts w:ascii="Times New Roman" w:hAnsi="Times New Roman" w:cs="Times New Roman"/>
          <w:b/>
          <w:sz w:val="20"/>
          <w:szCs w:val="20"/>
        </w:rPr>
        <w:t>I</w:t>
      </w:r>
      <w:r w:rsidRPr="00BC06A0">
        <w:rPr>
          <w:rFonts w:ascii="Times New Roman" w:hAnsi="Times New Roman" w:cs="Times New Roman"/>
          <w:b/>
          <w:sz w:val="20"/>
          <w:szCs w:val="20"/>
        </w:rPr>
        <w:t xml:space="preserve">. Tasa de desempleo 2000 - </w:t>
      </w:r>
      <w:commentRangeStart w:id="117"/>
      <w:r w:rsidRPr="00BC06A0">
        <w:rPr>
          <w:rFonts w:ascii="Times New Roman" w:hAnsi="Times New Roman" w:cs="Times New Roman"/>
          <w:b/>
          <w:sz w:val="20"/>
          <w:szCs w:val="20"/>
        </w:rPr>
        <w:t>2016</w:t>
      </w:r>
      <w:commentRangeEnd w:id="117"/>
      <w:r w:rsidR="00574F86">
        <w:rPr>
          <w:rStyle w:val="Refdecomentario"/>
          <w:rFonts w:ascii="Times New Roman" w:eastAsia="SimSun" w:hAnsi="Times New Roman" w:cs="Mangal"/>
          <w:kern w:val="1"/>
          <w:lang w:val="es-UY" w:eastAsia="hi-IN" w:bidi="hi-IN"/>
        </w:rPr>
        <w:commentReference w:id="117"/>
      </w:r>
    </w:p>
    <w:tbl>
      <w:tblPr>
        <w:tblStyle w:val="Tablaconcuadrcula"/>
        <w:tblW w:w="0" w:type="auto"/>
        <w:tblInd w:w="-147" w:type="dxa"/>
        <w:tblLook w:val="04A0" w:firstRow="1" w:lastRow="0" w:firstColumn="1" w:lastColumn="0" w:noHBand="0" w:noVBand="1"/>
      </w:tblPr>
      <w:tblGrid>
        <w:gridCol w:w="545"/>
        <w:gridCol w:w="554"/>
        <w:gridCol w:w="554"/>
        <w:gridCol w:w="554"/>
        <w:gridCol w:w="554"/>
        <w:gridCol w:w="554"/>
        <w:gridCol w:w="554"/>
        <w:gridCol w:w="554"/>
        <w:gridCol w:w="554"/>
        <w:gridCol w:w="554"/>
        <w:gridCol w:w="554"/>
        <w:gridCol w:w="554"/>
        <w:gridCol w:w="554"/>
        <w:gridCol w:w="554"/>
        <w:gridCol w:w="554"/>
        <w:gridCol w:w="554"/>
      </w:tblGrid>
      <w:tr w:rsidR="002B775D" w:rsidRPr="002C67E0" w:rsidTr="002B775D">
        <w:trPr>
          <w:trHeight w:val="500"/>
        </w:trPr>
        <w:tc>
          <w:tcPr>
            <w:tcW w:w="536" w:type="dxa"/>
          </w:tcPr>
          <w:p w:rsidR="00BC06A0" w:rsidRPr="002B775D" w:rsidRDefault="00BC06A0" w:rsidP="00BD3519">
            <w:pPr>
              <w:jc w:val="both"/>
              <w:rPr>
                <w:rFonts w:ascii="Times New Roman" w:hAnsi="Times New Roman" w:cs="Times New Roman"/>
                <w:b/>
                <w:sz w:val="16"/>
                <w:szCs w:val="16"/>
              </w:rPr>
            </w:pPr>
            <w:r w:rsidRPr="002B775D">
              <w:rPr>
                <w:rFonts w:ascii="Times New Roman" w:hAnsi="Times New Roman" w:cs="Times New Roman"/>
                <w:b/>
                <w:sz w:val="16"/>
                <w:szCs w:val="16"/>
              </w:rPr>
              <w:t>Año</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2002</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2003</w:t>
            </w:r>
          </w:p>
        </w:tc>
        <w:tc>
          <w:tcPr>
            <w:tcW w:w="554" w:type="dxa"/>
          </w:tcPr>
          <w:p w:rsidR="00BC06A0" w:rsidRPr="002C67E0" w:rsidRDefault="00BC06A0" w:rsidP="002C67E0">
            <w:pPr>
              <w:jc w:val="both"/>
              <w:rPr>
                <w:rFonts w:ascii="Times New Roman" w:hAnsi="Times New Roman" w:cs="Times New Roman"/>
                <w:sz w:val="16"/>
                <w:szCs w:val="16"/>
              </w:rPr>
            </w:pPr>
            <w:r w:rsidRPr="002C67E0">
              <w:rPr>
                <w:rFonts w:ascii="Times New Roman" w:hAnsi="Times New Roman" w:cs="Times New Roman"/>
                <w:sz w:val="16"/>
                <w:szCs w:val="16"/>
              </w:rPr>
              <w:t>2004</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2005</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2006</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2007</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2008</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2009</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2010</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2011</w:t>
            </w:r>
          </w:p>
        </w:tc>
        <w:tc>
          <w:tcPr>
            <w:tcW w:w="554" w:type="dxa"/>
          </w:tcPr>
          <w:p w:rsidR="00BC06A0" w:rsidRPr="002C67E0" w:rsidRDefault="00BC06A0" w:rsidP="00BD3519">
            <w:pPr>
              <w:jc w:val="both"/>
              <w:rPr>
                <w:rFonts w:ascii="Times New Roman" w:hAnsi="Times New Roman" w:cs="Times New Roman"/>
                <w:sz w:val="16"/>
                <w:szCs w:val="16"/>
              </w:rPr>
            </w:pPr>
            <w:r>
              <w:rPr>
                <w:rFonts w:ascii="Times New Roman" w:hAnsi="Times New Roman" w:cs="Times New Roman"/>
                <w:sz w:val="16"/>
                <w:szCs w:val="16"/>
              </w:rPr>
              <w:t>2012</w:t>
            </w:r>
          </w:p>
        </w:tc>
        <w:tc>
          <w:tcPr>
            <w:tcW w:w="554" w:type="dxa"/>
          </w:tcPr>
          <w:p w:rsidR="00BC06A0" w:rsidRPr="002C67E0" w:rsidRDefault="00BC06A0" w:rsidP="00BD3519">
            <w:pPr>
              <w:jc w:val="both"/>
              <w:rPr>
                <w:rFonts w:ascii="Times New Roman" w:hAnsi="Times New Roman" w:cs="Times New Roman"/>
                <w:sz w:val="16"/>
                <w:szCs w:val="16"/>
              </w:rPr>
            </w:pPr>
            <w:r>
              <w:rPr>
                <w:rFonts w:ascii="Times New Roman" w:hAnsi="Times New Roman" w:cs="Times New Roman"/>
                <w:sz w:val="16"/>
                <w:szCs w:val="16"/>
              </w:rPr>
              <w:t>2013</w:t>
            </w:r>
          </w:p>
        </w:tc>
        <w:tc>
          <w:tcPr>
            <w:tcW w:w="554" w:type="dxa"/>
          </w:tcPr>
          <w:p w:rsidR="00BC06A0" w:rsidRPr="002C67E0" w:rsidRDefault="00BC06A0" w:rsidP="00BD3519">
            <w:pPr>
              <w:jc w:val="both"/>
              <w:rPr>
                <w:rFonts w:ascii="Times New Roman" w:hAnsi="Times New Roman" w:cs="Times New Roman"/>
                <w:sz w:val="16"/>
                <w:szCs w:val="16"/>
              </w:rPr>
            </w:pPr>
            <w:r>
              <w:rPr>
                <w:rFonts w:ascii="Times New Roman" w:hAnsi="Times New Roman" w:cs="Times New Roman"/>
                <w:sz w:val="16"/>
                <w:szCs w:val="16"/>
              </w:rPr>
              <w:t>2014</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2015</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2016</w:t>
            </w:r>
          </w:p>
        </w:tc>
      </w:tr>
      <w:tr w:rsidR="002B775D" w:rsidRPr="002C67E0" w:rsidTr="002B775D">
        <w:trPr>
          <w:trHeight w:val="500"/>
        </w:trPr>
        <w:tc>
          <w:tcPr>
            <w:tcW w:w="536" w:type="dxa"/>
          </w:tcPr>
          <w:p w:rsidR="00BC06A0" w:rsidRPr="002B775D" w:rsidRDefault="00BC06A0" w:rsidP="00BD3519">
            <w:pPr>
              <w:jc w:val="both"/>
              <w:rPr>
                <w:rFonts w:ascii="Times New Roman" w:hAnsi="Times New Roman" w:cs="Times New Roman"/>
                <w:b/>
                <w:sz w:val="16"/>
                <w:szCs w:val="16"/>
              </w:rPr>
            </w:pPr>
            <w:r w:rsidRPr="002B775D">
              <w:rPr>
                <w:rFonts w:ascii="Times New Roman" w:hAnsi="Times New Roman" w:cs="Times New Roman"/>
                <w:b/>
                <w:sz w:val="16"/>
                <w:szCs w:val="16"/>
              </w:rPr>
              <w:t xml:space="preserve">Tasa </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19,4</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16</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13</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12,2</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10,8</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9,2</w:t>
            </w:r>
          </w:p>
        </w:tc>
        <w:tc>
          <w:tcPr>
            <w:tcW w:w="554" w:type="dxa"/>
          </w:tcPr>
          <w:p w:rsidR="00BC06A0" w:rsidRPr="002C67E0" w:rsidRDefault="00BC06A0" w:rsidP="00BD3519">
            <w:pPr>
              <w:jc w:val="both"/>
              <w:rPr>
                <w:rFonts w:ascii="Times New Roman" w:hAnsi="Times New Roman" w:cs="Times New Roman"/>
                <w:sz w:val="16"/>
                <w:szCs w:val="16"/>
              </w:rPr>
            </w:pPr>
            <w:r w:rsidRPr="002C67E0">
              <w:rPr>
                <w:rFonts w:ascii="Times New Roman" w:hAnsi="Times New Roman" w:cs="Times New Roman"/>
                <w:sz w:val="16"/>
                <w:szCs w:val="16"/>
              </w:rPr>
              <w:t>7,6</w:t>
            </w:r>
          </w:p>
        </w:tc>
        <w:tc>
          <w:tcPr>
            <w:tcW w:w="554" w:type="dxa"/>
          </w:tcPr>
          <w:p w:rsidR="00BC06A0" w:rsidRPr="002C67E0" w:rsidRDefault="00BC06A0" w:rsidP="00BD3519">
            <w:pPr>
              <w:jc w:val="both"/>
              <w:rPr>
                <w:rFonts w:ascii="Times New Roman" w:hAnsi="Times New Roman" w:cs="Times New Roman"/>
                <w:sz w:val="16"/>
                <w:szCs w:val="16"/>
              </w:rPr>
            </w:pPr>
            <w:r>
              <w:rPr>
                <w:rFonts w:ascii="Times New Roman" w:hAnsi="Times New Roman" w:cs="Times New Roman"/>
                <w:sz w:val="16"/>
                <w:szCs w:val="16"/>
              </w:rPr>
              <w:t>7,6</w:t>
            </w:r>
          </w:p>
        </w:tc>
        <w:tc>
          <w:tcPr>
            <w:tcW w:w="554" w:type="dxa"/>
          </w:tcPr>
          <w:p w:rsidR="00BC06A0" w:rsidRPr="002C67E0" w:rsidRDefault="00BC06A0" w:rsidP="00BD3519">
            <w:pPr>
              <w:jc w:val="both"/>
              <w:rPr>
                <w:rFonts w:ascii="Times New Roman" w:hAnsi="Times New Roman" w:cs="Times New Roman"/>
                <w:sz w:val="16"/>
                <w:szCs w:val="16"/>
              </w:rPr>
            </w:pPr>
            <w:r>
              <w:rPr>
                <w:rFonts w:ascii="Times New Roman" w:hAnsi="Times New Roman" w:cs="Times New Roman"/>
                <w:sz w:val="16"/>
                <w:szCs w:val="16"/>
              </w:rPr>
              <w:t>6,8</w:t>
            </w:r>
          </w:p>
        </w:tc>
        <w:tc>
          <w:tcPr>
            <w:tcW w:w="554" w:type="dxa"/>
          </w:tcPr>
          <w:p w:rsidR="00BC06A0" w:rsidRPr="002C67E0" w:rsidRDefault="00BC06A0" w:rsidP="00BD3519">
            <w:pPr>
              <w:jc w:val="both"/>
              <w:rPr>
                <w:rFonts w:ascii="Times New Roman" w:hAnsi="Times New Roman" w:cs="Times New Roman"/>
                <w:sz w:val="16"/>
                <w:szCs w:val="16"/>
              </w:rPr>
            </w:pPr>
            <w:r>
              <w:rPr>
                <w:rFonts w:ascii="Times New Roman" w:hAnsi="Times New Roman" w:cs="Times New Roman"/>
                <w:sz w:val="16"/>
                <w:szCs w:val="16"/>
              </w:rPr>
              <w:t>6</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6,1</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6,5</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6,9</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7,8</w:t>
            </w:r>
          </w:p>
        </w:tc>
        <w:tc>
          <w:tcPr>
            <w:tcW w:w="554" w:type="dxa"/>
          </w:tcPr>
          <w:p w:rsidR="00BC06A0" w:rsidRDefault="00BC06A0" w:rsidP="00BD3519">
            <w:pPr>
              <w:jc w:val="both"/>
              <w:rPr>
                <w:rFonts w:ascii="Times New Roman" w:hAnsi="Times New Roman" w:cs="Times New Roman"/>
                <w:sz w:val="16"/>
                <w:szCs w:val="16"/>
              </w:rPr>
            </w:pPr>
            <w:r>
              <w:rPr>
                <w:rFonts w:ascii="Times New Roman" w:hAnsi="Times New Roman" w:cs="Times New Roman"/>
                <w:sz w:val="16"/>
                <w:szCs w:val="16"/>
              </w:rPr>
              <w:t>8,2</w:t>
            </w:r>
          </w:p>
        </w:tc>
      </w:tr>
    </w:tbl>
    <w:p w:rsidR="002C67E0" w:rsidRPr="00BC06A0" w:rsidRDefault="00BC06A0" w:rsidP="00BD3519">
      <w:pPr>
        <w:spacing w:after="0" w:line="240" w:lineRule="auto"/>
        <w:jc w:val="both"/>
        <w:rPr>
          <w:rFonts w:ascii="Times New Roman" w:hAnsi="Times New Roman" w:cs="Times New Roman"/>
          <w:sz w:val="20"/>
          <w:szCs w:val="20"/>
        </w:rPr>
      </w:pPr>
      <w:r w:rsidRPr="00BC06A0">
        <w:rPr>
          <w:rFonts w:ascii="Times New Roman" w:hAnsi="Times New Roman" w:cs="Times New Roman"/>
          <w:sz w:val="20"/>
          <w:szCs w:val="20"/>
        </w:rPr>
        <w:t>Fuente: INE, 2017</w:t>
      </w:r>
    </w:p>
    <w:p w:rsidR="002C67E0" w:rsidRDefault="002C67E0" w:rsidP="00BD3519">
      <w:pPr>
        <w:spacing w:after="0" w:line="240" w:lineRule="auto"/>
        <w:jc w:val="both"/>
        <w:rPr>
          <w:rFonts w:ascii="Times New Roman" w:hAnsi="Times New Roman" w:cs="Times New Roman"/>
          <w:sz w:val="24"/>
          <w:szCs w:val="24"/>
        </w:rPr>
      </w:pPr>
    </w:p>
    <w:p w:rsidR="00E97625" w:rsidRDefault="00A54538" w:rsidP="00DE09D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d) Alianzas estructurales y coyunturales</w:t>
      </w:r>
    </w:p>
    <w:p w:rsidR="00512517" w:rsidRDefault="002B775D" w:rsidP="00DE09D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La afinidad programática y</w:t>
      </w:r>
      <w:ins w:id="118" w:author="Claudia" w:date="2018-10-30T19:33:00Z">
        <w:r w:rsidR="00574F86">
          <w:rPr>
            <w:rFonts w:ascii="Times New Roman" w:hAnsi="Times New Roman" w:cs="Times New Roman"/>
            <w:sz w:val="24"/>
            <w:szCs w:val="24"/>
          </w:rPr>
          <w:t>,</w:t>
        </w:r>
      </w:ins>
      <w:r>
        <w:rPr>
          <w:rFonts w:ascii="Times New Roman" w:hAnsi="Times New Roman" w:cs="Times New Roman"/>
          <w:sz w:val="24"/>
          <w:szCs w:val="24"/>
        </w:rPr>
        <w:t xml:space="preserve"> si se quiere, ideológica entre los dirigentes sociales (sobre todo de los movimientos sociales históricos, como el sindical, estudiantil y cooperativo), con los dirigentes de la izquierda nacional ha sido una característica de larga data. De hecho, la incorporación de algunos líderes sindicales en puestos clave</w:t>
      </w:r>
      <w:ins w:id="119" w:author="Claudia" w:date="2018-10-30T19:34:00Z">
        <w:r w:rsidR="00574F86">
          <w:rPr>
            <w:rFonts w:ascii="Times New Roman" w:hAnsi="Times New Roman" w:cs="Times New Roman"/>
            <w:sz w:val="24"/>
            <w:szCs w:val="24"/>
          </w:rPr>
          <w:t>s</w:t>
        </w:r>
      </w:ins>
      <w:r>
        <w:rPr>
          <w:rFonts w:ascii="Times New Roman" w:hAnsi="Times New Roman" w:cs="Times New Roman"/>
          <w:sz w:val="24"/>
          <w:szCs w:val="24"/>
        </w:rPr>
        <w:t xml:space="preserve"> del gobierno (muy particularmente en el Ministerio de Trabajo) o de agencias públicas autónomas (caso del Instituto de la Seguridad Social, BPS o</w:t>
      </w:r>
      <w:r w:rsidR="006B2760">
        <w:rPr>
          <w:rFonts w:ascii="Times New Roman" w:hAnsi="Times New Roman" w:cs="Times New Roman"/>
          <w:sz w:val="24"/>
          <w:szCs w:val="24"/>
        </w:rPr>
        <w:t xml:space="preserve"> de la enseñanza pública), no hacen más que confirmar la tesis de proximidad o afinidad entre actores sociales y </w:t>
      </w:r>
      <w:r w:rsidR="00AC2E6C">
        <w:rPr>
          <w:rFonts w:ascii="Times New Roman" w:hAnsi="Times New Roman" w:cs="Times New Roman"/>
          <w:sz w:val="24"/>
          <w:szCs w:val="24"/>
        </w:rPr>
        <w:t>políticos.</w:t>
      </w:r>
      <w:r w:rsidR="00AC2E6C" w:rsidRPr="00512517">
        <w:rPr>
          <w:rFonts w:ascii="Times New Roman" w:hAnsi="Times New Roman" w:cs="Times New Roman"/>
          <w:sz w:val="24"/>
          <w:szCs w:val="24"/>
        </w:rPr>
        <w:t xml:space="preserve"> Desde</w:t>
      </w:r>
      <w:r w:rsidR="00512517" w:rsidRPr="00512517">
        <w:rPr>
          <w:rFonts w:ascii="Times New Roman" w:hAnsi="Times New Roman" w:cs="Times New Roman"/>
          <w:sz w:val="24"/>
          <w:szCs w:val="24"/>
        </w:rPr>
        <w:t xml:space="preserve"> la perspectiva gubernamental, la incorporación de aquellos a las filas de los mandos medios y superiores en las agencias estatales le aportó fluidez en el diálogo y las negociaciones en todo el proceso, así como la dosis necesaria de legitimidad en la interlocución con los socios de la coalición. Y, desde la perspectiva del movimiento sindical, la lógica inaugurada en el año 2005</w:t>
      </w:r>
      <w:del w:id="120" w:author="Claudia" w:date="2018-10-30T19:34:00Z">
        <w:r w:rsidR="00512517" w:rsidRPr="00512517" w:rsidDel="00574F86">
          <w:rPr>
            <w:rFonts w:ascii="Times New Roman" w:hAnsi="Times New Roman" w:cs="Times New Roman"/>
            <w:sz w:val="24"/>
            <w:szCs w:val="24"/>
          </w:rPr>
          <w:delText>,</w:delText>
        </w:r>
      </w:del>
      <w:r w:rsidR="00512517" w:rsidRPr="00512517">
        <w:rPr>
          <w:rFonts w:ascii="Times New Roman" w:hAnsi="Times New Roman" w:cs="Times New Roman"/>
          <w:sz w:val="24"/>
          <w:szCs w:val="24"/>
        </w:rPr>
        <w:t xml:space="preserve"> le aportó ganancias políticas en el plano de la legitimidad de las organizaciones sindicales en su confrontación con las corporaciones empresariales, al tiempo que incentivó fuertemente la afiliación de miles de trabajadores a sus respectivos gremios.</w:t>
      </w:r>
    </w:p>
    <w:p w:rsidR="00512517" w:rsidRPr="00512517" w:rsidRDefault="00512517" w:rsidP="00DE09DC">
      <w:pPr>
        <w:spacing w:after="0" w:line="480" w:lineRule="auto"/>
        <w:jc w:val="both"/>
        <w:rPr>
          <w:rFonts w:ascii="Times New Roman" w:hAnsi="Times New Roman" w:cs="Times New Roman"/>
          <w:sz w:val="24"/>
          <w:szCs w:val="24"/>
        </w:rPr>
      </w:pPr>
      <w:r w:rsidRPr="00512517">
        <w:rPr>
          <w:rFonts w:ascii="Times New Roman" w:hAnsi="Times New Roman" w:cs="Times New Roman"/>
          <w:sz w:val="24"/>
          <w:szCs w:val="24"/>
        </w:rPr>
        <w:t xml:space="preserve">Como era de suponer, la coincidencia entre el Estado y la central sindical adquirió fuerza una vez que se reinstauraron los mecanismos de negociación colectiva en el campo laboral. La confluencia de las demandas históricas del movimiento obrero con las propuestas preelectorales del Frente Amplio, que colocaron el énfasis en la necesidad de gestionar el conflicto capital-trabajo en el marco de una estrategia de regulación de los salarios y de las condiciones del empleo, desembocaron rápidamente en la construcción de una coalición que se mantuvo durante todo el período examinado. </w:t>
      </w:r>
    </w:p>
    <w:p w:rsidR="00512517" w:rsidRDefault="00512517" w:rsidP="00DE09DC">
      <w:pPr>
        <w:spacing w:after="0" w:line="480" w:lineRule="auto"/>
        <w:jc w:val="both"/>
        <w:rPr>
          <w:rFonts w:ascii="Times New Roman" w:hAnsi="Times New Roman" w:cs="Times New Roman"/>
          <w:sz w:val="24"/>
          <w:szCs w:val="24"/>
        </w:rPr>
      </w:pPr>
      <w:r w:rsidRPr="00512517">
        <w:rPr>
          <w:rFonts w:ascii="Times New Roman" w:hAnsi="Times New Roman" w:cs="Times New Roman"/>
          <w:sz w:val="24"/>
          <w:szCs w:val="24"/>
        </w:rPr>
        <w:t xml:space="preserve">No cabe duda, por otro lado, </w:t>
      </w:r>
      <w:ins w:id="121" w:author="Claudia" w:date="2018-10-30T19:35:00Z">
        <w:r w:rsidR="00574F86">
          <w:rPr>
            <w:rFonts w:ascii="Times New Roman" w:hAnsi="Times New Roman" w:cs="Times New Roman"/>
            <w:sz w:val="24"/>
            <w:szCs w:val="24"/>
          </w:rPr>
          <w:t xml:space="preserve">de </w:t>
        </w:r>
      </w:ins>
      <w:r w:rsidRPr="00512517">
        <w:rPr>
          <w:rFonts w:ascii="Times New Roman" w:hAnsi="Times New Roman" w:cs="Times New Roman"/>
          <w:sz w:val="24"/>
          <w:szCs w:val="24"/>
        </w:rPr>
        <w:t>que la obtención de buenos resultados en el terreno de las concesiones salariales y adicionalmente de nuevas normas que mejoraron sustancialmente la eficacia de los dispositivos e instrumentos de protección (seguro de desempleo, créditos, capacitación y recalificación laboral), anotaron puntos favorables para las reivindicaciones sindicales. Asimismo, la mejora de los ingresos por trabajo, el abatimiento de la tasa del desempleo abierto y la creciente formalización de la economía, fueron factores que coadyuvaron notablemente al mantenimiento de la estabilidad y robustez de la coalición pro bienestar en el campo laboral y de la seguridad social. Al respecto, debe subrayarse el papel de otro actor relevante en esta arena específica, la ONAJPU (Organización Nacional de Jubilados y Pensionistas), que también hubo de alin</w:t>
      </w:r>
      <w:r w:rsidR="00FB370F">
        <w:rPr>
          <w:rFonts w:ascii="Times New Roman" w:hAnsi="Times New Roman" w:cs="Times New Roman"/>
          <w:sz w:val="24"/>
          <w:szCs w:val="24"/>
        </w:rPr>
        <w:t>e</w:t>
      </w:r>
      <w:r w:rsidRPr="00512517">
        <w:rPr>
          <w:rFonts w:ascii="Times New Roman" w:hAnsi="Times New Roman" w:cs="Times New Roman"/>
          <w:sz w:val="24"/>
          <w:szCs w:val="24"/>
        </w:rPr>
        <w:t xml:space="preserve">arse con las propuestas de cambio y ajuste de las pasividades, aun cuando merece reconocerse las diferencias explícitas con el gobierno en torno al esquema general del sistema. Esto es, la demanda de modificación del actual esquema previsional, particularmente vinculado a las Administradoras de los Fondos Previsionales (AFAP), que implicaba su eliminación total o parcial. Pese a esta divergencia sustantiva, la ONAJPU mantuvo un perfil colaborativo, que se verificó sobremanera en su participación en la cogestión del principal organismo del sistema. En efecto, la dirección colegiada en la dirección del BPS (Instituto de la Seguridad Social), junto a delegados de los trabajadores y empresarios, acercó la ONAJPU más a los primeros y a los delegados oficialistas. Asimismo, cabe resaltar la participación activa en las convocatorias al Diálogo Social </w:t>
      </w:r>
      <w:r w:rsidR="004C5567" w:rsidRPr="00254231">
        <w:rPr>
          <w:rFonts w:ascii="Times New Roman" w:hAnsi="Times New Roman" w:cs="Times New Roman"/>
          <w:sz w:val="24"/>
          <w:szCs w:val="24"/>
        </w:rPr>
        <w:t>(</w:t>
      </w:r>
      <w:r w:rsidR="00254231" w:rsidRPr="00254231">
        <w:rPr>
          <w:rFonts w:ascii="Times New Roman" w:hAnsi="Times New Roman" w:cs="Times New Roman"/>
          <w:sz w:val="24"/>
          <w:szCs w:val="24"/>
        </w:rPr>
        <w:t>2016)</w:t>
      </w:r>
      <w:r w:rsidRPr="00254231">
        <w:rPr>
          <w:rFonts w:ascii="Times New Roman" w:hAnsi="Times New Roman" w:cs="Times New Roman"/>
          <w:sz w:val="24"/>
          <w:szCs w:val="24"/>
        </w:rPr>
        <w:t>,</w:t>
      </w:r>
      <w:r w:rsidRPr="00512517">
        <w:rPr>
          <w:rFonts w:ascii="Times New Roman" w:hAnsi="Times New Roman" w:cs="Times New Roman"/>
          <w:sz w:val="24"/>
          <w:szCs w:val="24"/>
        </w:rPr>
        <w:t xml:space="preserve"> que produjeron un conjunto de iniciativas y propuestas consensuadas, algunas de las cuales fueron finalmente implementadas.</w:t>
      </w:r>
    </w:p>
    <w:p w:rsidR="003F5E70" w:rsidRDefault="003F5E70" w:rsidP="00DE09DC">
      <w:pPr>
        <w:spacing w:after="0" w:line="480" w:lineRule="auto"/>
        <w:jc w:val="both"/>
        <w:rPr>
          <w:rFonts w:ascii="Times New Roman" w:hAnsi="Times New Roman" w:cs="Times New Roman"/>
          <w:sz w:val="24"/>
          <w:szCs w:val="24"/>
        </w:rPr>
      </w:pPr>
    </w:p>
    <w:p w:rsidR="002E5A0D" w:rsidRDefault="002E5A0D" w:rsidP="00E97625">
      <w:pPr>
        <w:pStyle w:val="Prrafodelista"/>
        <w:numPr>
          <w:ilvl w:val="0"/>
          <w:numId w:val="1"/>
        </w:numPr>
        <w:spacing w:line="360" w:lineRule="auto"/>
        <w:jc w:val="both"/>
        <w:rPr>
          <w:rFonts w:ascii="Times New Roman" w:hAnsi="Times New Roman" w:cs="Times New Roman"/>
          <w:b/>
          <w:sz w:val="24"/>
          <w:szCs w:val="24"/>
        </w:rPr>
      </w:pPr>
      <w:r w:rsidRPr="00E13786">
        <w:rPr>
          <w:rFonts w:ascii="Times New Roman" w:hAnsi="Times New Roman" w:cs="Times New Roman"/>
          <w:b/>
          <w:sz w:val="24"/>
          <w:szCs w:val="24"/>
        </w:rPr>
        <w:t xml:space="preserve">Conclusiones </w:t>
      </w:r>
      <w:r w:rsidR="00C61D1D">
        <w:rPr>
          <w:rFonts w:ascii="Times New Roman" w:hAnsi="Times New Roman" w:cs="Times New Roman"/>
          <w:b/>
          <w:sz w:val="24"/>
          <w:szCs w:val="24"/>
        </w:rPr>
        <w:t>preliminares</w:t>
      </w:r>
    </w:p>
    <w:p w:rsidR="00C61D1D" w:rsidRPr="00C61D1D" w:rsidRDefault="00C61D1D" w:rsidP="00AC2E6C">
      <w:pPr>
        <w:suppressAutoHyphens/>
        <w:spacing w:before="28" w:after="0" w:line="360" w:lineRule="auto"/>
        <w:ind w:left="709" w:right="-1"/>
        <w:jc w:val="both"/>
        <w:rPr>
          <w:rFonts w:ascii="Times New Roman" w:eastAsia="Times New Roman" w:hAnsi="Times New Roman" w:cs="Times New Roman"/>
          <w:kern w:val="1"/>
          <w:sz w:val="20"/>
          <w:szCs w:val="20"/>
          <w:lang w:eastAsia="hi-IN" w:bidi="hi-IN"/>
        </w:rPr>
      </w:pPr>
      <w:r w:rsidRPr="00C61D1D">
        <w:rPr>
          <w:rFonts w:ascii="Times New Roman" w:eastAsia="Times New Roman" w:hAnsi="Times New Roman" w:cs="Times New Roman"/>
          <w:kern w:val="1"/>
          <w:sz w:val="20"/>
          <w:szCs w:val="20"/>
          <w:lang w:eastAsia="hi-IN" w:bidi="hi-IN"/>
        </w:rPr>
        <w:t>“Es un hecho histórico que la construcción del Estado de Bienestar ha dependido de la formación de coaliciones políticas. La estructura de las coaliciones de clase es mucho más decisiva que los recursos de poder de cualquier clase por sí misma” (</w:t>
      </w:r>
      <w:proofErr w:type="spellStart"/>
      <w:r w:rsidRPr="00C61D1D">
        <w:rPr>
          <w:rFonts w:ascii="Times New Roman" w:eastAsia="Times New Roman" w:hAnsi="Times New Roman" w:cs="Times New Roman"/>
          <w:kern w:val="1"/>
          <w:sz w:val="20"/>
          <w:szCs w:val="20"/>
          <w:lang w:eastAsia="hi-IN" w:bidi="hi-IN"/>
        </w:rPr>
        <w:t>Esping</w:t>
      </w:r>
      <w:proofErr w:type="spellEnd"/>
      <w:r w:rsidRPr="00C61D1D">
        <w:rPr>
          <w:rFonts w:ascii="Times New Roman" w:eastAsia="Times New Roman" w:hAnsi="Times New Roman" w:cs="Times New Roman"/>
          <w:kern w:val="1"/>
          <w:sz w:val="20"/>
          <w:szCs w:val="20"/>
          <w:lang w:eastAsia="hi-IN" w:bidi="hi-IN"/>
        </w:rPr>
        <w:t xml:space="preserve">-Andersen, 1993). </w:t>
      </w:r>
    </w:p>
    <w:p w:rsidR="00C61D1D" w:rsidRPr="00C61D1D" w:rsidRDefault="00C61D1D" w:rsidP="00DE09DC">
      <w:pPr>
        <w:suppressAutoHyphens/>
        <w:spacing w:before="28" w:after="0" w:line="480" w:lineRule="auto"/>
        <w:jc w:val="both"/>
        <w:rPr>
          <w:rFonts w:ascii="Times New Roman" w:eastAsia="Times New Roman" w:hAnsi="Times New Roman" w:cs="Times New Roman"/>
          <w:kern w:val="1"/>
          <w:sz w:val="24"/>
          <w:szCs w:val="24"/>
          <w:lang w:eastAsia="hi-IN" w:bidi="hi-IN"/>
        </w:rPr>
      </w:pPr>
      <w:r w:rsidRPr="00C61D1D">
        <w:rPr>
          <w:rFonts w:ascii="Times New Roman" w:eastAsia="Times New Roman" w:hAnsi="Times New Roman" w:cs="Times New Roman"/>
          <w:kern w:val="1"/>
          <w:sz w:val="24"/>
          <w:szCs w:val="24"/>
          <w:lang w:eastAsia="hi-IN" w:bidi="hi-IN"/>
        </w:rPr>
        <w:t>Las referencias al autor subrayan el aspecto central en el que se focaliz</w:t>
      </w:r>
      <w:r w:rsidR="000739EE">
        <w:rPr>
          <w:rFonts w:ascii="Times New Roman" w:eastAsia="Times New Roman" w:hAnsi="Times New Roman" w:cs="Times New Roman"/>
          <w:kern w:val="1"/>
          <w:sz w:val="24"/>
          <w:szCs w:val="24"/>
          <w:lang w:eastAsia="hi-IN" w:bidi="hi-IN"/>
        </w:rPr>
        <w:t>a</w:t>
      </w:r>
      <w:r w:rsidRPr="00C61D1D">
        <w:rPr>
          <w:rFonts w:ascii="Times New Roman" w:eastAsia="Times New Roman" w:hAnsi="Times New Roman" w:cs="Times New Roman"/>
          <w:kern w:val="1"/>
          <w:sz w:val="24"/>
          <w:szCs w:val="24"/>
          <w:lang w:eastAsia="hi-IN" w:bidi="hi-IN"/>
        </w:rPr>
        <w:t xml:space="preserve"> la investigación. Por un lado, la relevancia e impacto que tienen las coaliciones sociopolíticas (gobiernos, partidos de izquierda y centro izquierda, movimientos y actores sociales), en la definición de las agendas públicas y </w:t>
      </w:r>
      <w:ins w:id="122" w:author="Claudia" w:date="2018-10-30T19:37:00Z">
        <w:r w:rsidR="004B7AB0">
          <w:rPr>
            <w:rFonts w:ascii="Times New Roman" w:eastAsia="Times New Roman" w:hAnsi="Times New Roman" w:cs="Times New Roman"/>
            <w:kern w:val="1"/>
            <w:sz w:val="24"/>
            <w:szCs w:val="24"/>
            <w:lang w:eastAsia="hi-IN" w:bidi="hi-IN"/>
          </w:rPr>
          <w:t xml:space="preserve">en </w:t>
        </w:r>
      </w:ins>
      <w:r w:rsidRPr="00C61D1D">
        <w:rPr>
          <w:rFonts w:ascii="Times New Roman" w:eastAsia="Times New Roman" w:hAnsi="Times New Roman" w:cs="Times New Roman"/>
          <w:kern w:val="1"/>
          <w:sz w:val="24"/>
          <w:szCs w:val="24"/>
          <w:lang w:eastAsia="hi-IN" w:bidi="hi-IN"/>
        </w:rPr>
        <w:t xml:space="preserve">la implementación de políticas sociales que redunden en la estructuración de matrices de bienestar más proclives al universalismo, de carácter </w:t>
      </w:r>
      <w:proofErr w:type="spellStart"/>
      <w:r w:rsidRPr="00C61D1D">
        <w:rPr>
          <w:rFonts w:ascii="Times New Roman" w:eastAsia="Times New Roman" w:hAnsi="Times New Roman" w:cs="Times New Roman"/>
          <w:kern w:val="1"/>
          <w:sz w:val="24"/>
          <w:szCs w:val="24"/>
          <w:lang w:eastAsia="hi-IN" w:bidi="hi-IN"/>
        </w:rPr>
        <w:t>desmercantilizado</w:t>
      </w:r>
      <w:proofErr w:type="spellEnd"/>
      <w:r w:rsidRPr="00C61D1D">
        <w:rPr>
          <w:rFonts w:ascii="Times New Roman" w:eastAsia="Times New Roman" w:hAnsi="Times New Roman" w:cs="Times New Roman"/>
          <w:kern w:val="1"/>
          <w:sz w:val="24"/>
          <w:szCs w:val="24"/>
          <w:lang w:eastAsia="hi-IN" w:bidi="hi-IN"/>
        </w:rPr>
        <w:t xml:space="preserve"> y más igualitarias. Por otro, la posibilidad de proyectar en términos prospectivos la</w:t>
      </w:r>
      <w:r w:rsidR="00AC2E6C">
        <w:rPr>
          <w:rFonts w:ascii="Times New Roman" w:eastAsia="Times New Roman" w:hAnsi="Times New Roman" w:cs="Times New Roman"/>
          <w:kern w:val="1"/>
          <w:sz w:val="24"/>
          <w:szCs w:val="24"/>
          <w:lang w:eastAsia="hi-IN" w:bidi="hi-IN"/>
        </w:rPr>
        <w:t xml:space="preserve"> viabilidad del mantenimiento –</w:t>
      </w:r>
      <w:r w:rsidRPr="00C61D1D">
        <w:rPr>
          <w:rFonts w:ascii="Times New Roman" w:eastAsia="Times New Roman" w:hAnsi="Times New Roman" w:cs="Times New Roman"/>
          <w:kern w:val="1"/>
          <w:sz w:val="24"/>
          <w:szCs w:val="24"/>
          <w:lang w:eastAsia="hi-IN" w:bidi="hi-IN"/>
        </w:rPr>
        <w:t xml:space="preserve">e incluso la profundización– de aquellas matrices de bienestar a partir del análisis de los itinerarios o trayectorias de aquellas coaliciones a lo largo del tiempo. De este modo se explican – en </w:t>
      </w:r>
      <w:r w:rsidR="000739EE">
        <w:rPr>
          <w:rFonts w:ascii="Times New Roman" w:eastAsia="Times New Roman" w:hAnsi="Times New Roman" w:cs="Times New Roman"/>
          <w:kern w:val="1"/>
          <w:sz w:val="24"/>
          <w:szCs w:val="24"/>
          <w:lang w:eastAsia="hi-IN" w:bidi="hi-IN"/>
        </w:rPr>
        <w:t>buena</w:t>
      </w:r>
      <w:r w:rsidRPr="00C61D1D">
        <w:rPr>
          <w:rFonts w:ascii="Times New Roman" w:eastAsia="Times New Roman" w:hAnsi="Times New Roman" w:cs="Times New Roman"/>
          <w:kern w:val="1"/>
          <w:sz w:val="24"/>
          <w:szCs w:val="24"/>
          <w:lang w:eastAsia="hi-IN" w:bidi="hi-IN"/>
        </w:rPr>
        <w:t xml:space="preserve"> medida – las tendencias observadas en la primera década del siglo XXI en América Latina y particularmente en los casos seleccionados, con relación a la reconfiguración de las matrices de bienestar. Y específicamente determinado tipo de matriz de bienestar tal como se señala, orientada al universalismo de las prestaciones, bienes y servicios públicos, al </w:t>
      </w:r>
      <w:proofErr w:type="spellStart"/>
      <w:r w:rsidRPr="00C61D1D">
        <w:rPr>
          <w:rFonts w:ascii="Times New Roman" w:eastAsia="Times New Roman" w:hAnsi="Times New Roman" w:cs="Times New Roman"/>
          <w:kern w:val="1"/>
          <w:sz w:val="24"/>
          <w:szCs w:val="24"/>
          <w:lang w:eastAsia="hi-IN" w:bidi="hi-IN"/>
        </w:rPr>
        <w:t>desanclaje</w:t>
      </w:r>
      <w:proofErr w:type="spellEnd"/>
      <w:r w:rsidRPr="00C61D1D">
        <w:rPr>
          <w:rFonts w:ascii="Times New Roman" w:eastAsia="Times New Roman" w:hAnsi="Times New Roman" w:cs="Times New Roman"/>
          <w:kern w:val="1"/>
          <w:sz w:val="24"/>
          <w:szCs w:val="24"/>
          <w:lang w:eastAsia="hi-IN" w:bidi="hi-IN"/>
        </w:rPr>
        <w:t xml:space="preserve"> de los mismos del mercado y la propensión a diseñar e instrumentar medidas de corte más redistributivo con fines de mayor igualdad.</w:t>
      </w:r>
    </w:p>
    <w:p w:rsidR="00C61D1D" w:rsidRPr="00C61D1D" w:rsidRDefault="00C61D1D" w:rsidP="00DE09DC">
      <w:pPr>
        <w:suppressAutoHyphens/>
        <w:spacing w:before="28" w:after="0" w:line="480" w:lineRule="auto"/>
        <w:jc w:val="both"/>
        <w:rPr>
          <w:rFonts w:ascii="Times New Roman" w:eastAsia="Times New Roman" w:hAnsi="Times New Roman" w:cs="Times New Roman"/>
          <w:kern w:val="1"/>
          <w:sz w:val="24"/>
          <w:szCs w:val="24"/>
          <w:lang w:eastAsia="hi-IN" w:bidi="hi-IN"/>
        </w:rPr>
      </w:pPr>
      <w:r w:rsidRPr="00C61D1D">
        <w:rPr>
          <w:rFonts w:ascii="Times New Roman" w:eastAsia="Times New Roman" w:hAnsi="Times New Roman" w:cs="Times New Roman"/>
          <w:kern w:val="1"/>
          <w:sz w:val="24"/>
          <w:szCs w:val="24"/>
          <w:lang w:eastAsia="hi-IN" w:bidi="hi-IN"/>
        </w:rPr>
        <w:t xml:space="preserve">En efecto, tanto en Argentina (durante todo el período hegemonizado por el </w:t>
      </w:r>
      <w:proofErr w:type="spellStart"/>
      <w:r w:rsidRPr="00C61D1D">
        <w:rPr>
          <w:rFonts w:ascii="Times New Roman" w:eastAsia="Times New Roman" w:hAnsi="Times New Roman" w:cs="Times New Roman"/>
          <w:kern w:val="1"/>
          <w:sz w:val="24"/>
          <w:szCs w:val="24"/>
          <w:lang w:eastAsia="hi-IN" w:bidi="hi-IN"/>
        </w:rPr>
        <w:t>kirchnerismo</w:t>
      </w:r>
      <w:proofErr w:type="spellEnd"/>
      <w:r w:rsidRPr="00C61D1D">
        <w:rPr>
          <w:rFonts w:ascii="Times New Roman" w:eastAsia="Times New Roman" w:hAnsi="Times New Roman" w:cs="Times New Roman"/>
          <w:kern w:val="1"/>
          <w:sz w:val="24"/>
          <w:szCs w:val="24"/>
          <w:lang w:eastAsia="hi-IN" w:bidi="hi-IN"/>
        </w:rPr>
        <w:t xml:space="preserve">), como en Uruguay (durante la primera administración del Presidente Vázquez y el gobierno de Mujica), la reorientación de las políticas sociales parece haberse dirigido a responder claramente </w:t>
      </w:r>
      <w:r w:rsidR="00AC2E6C">
        <w:rPr>
          <w:rFonts w:ascii="Times New Roman" w:eastAsia="Times New Roman" w:hAnsi="Times New Roman" w:cs="Times New Roman"/>
          <w:kern w:val="1"/>
          <w:sz w:val="24"/>
          <w:szCs w:val="24"/>
          <w:lang w:eastAsia="hi-IN" w:bidi="hi-IN"/>
        </w:rPr>
        <w:t xml:space="preserve">a </w:t>
      </w:r>
      <w:r w:rsidRPr="00C61D1D">
        <w:rPr>
          <w:rFonts w:ascii="Times New Roman" w:eastAsia="Times New Roman" w:hAnsi="Times New Roman" w:cs="Times New Roman"/>
          <w:kern w:val="1"/>
          <w:sz w:val="24"/>
          <w:szCs w:val="24"/>
          <w:lang w:eastAsia="hi-IN" w:bidi="hi-IN"/>
        </w:rPr>
        <w:t xml:space="preserve">la problemática de la pobreza y del desempleo, con fines de generar protección social sustentable. Simultáneamente, los registros en términos de desigualdad social (medidos por el coeficiente de </w:t>
      </w:r>
      <w:proofErr w:type="spellStart"/>
      <w:r w:rsidRPr="00C61D1D">
        <w:rPr>
          <w:rFonts w:ascii="Times New Roman" w:eastAsia="Times New Roman" w:hAnsi="Times New Roman" w:cs="Times New Roman"/>
          <w:kern w:val="1"/>
          <w:sz w:val="24"/>
          <w:szCs w:val="24"/>
          <w:lang w:eastAsia="hi-IN" w:bidi="hi-IN"/>
        </w:rPr>
        <w:t>Gini</w:t>
      </w:r>
      <w:proofErr w:type="spellEnd"/>
      <w:r w:rsidRPr="00C61D1D">
        <w:rPr>
          <w:rFonts w:ascii="Times New Roman" w:eastAsia="Times New Roman" w:hAnsi="Times New Roman" w:cs="Times New Roman"/>
          <w:kern w:val="1"/>
          <w:sz w:val="24"/>
          <w:szCs w:val="24"/>
          <w:lang w:eastAsia="hi-IN" w:bidi="hi-IN"/>
        </w:rPr>
        <w:t xml:space="preserve"> y complementados con el análisis de la distribución del ingreso por </w:t>
      </w:r>
      <w:proofErr w:type="spellStart"/>
      <w:r w:rsidRPr="00C61D1D">
        <w:rPr>
          <w:rFonts w:ascii="Times New Roman" w:eastAsia="Times New Roman" w:hAnsi="Times New Roman" w:cs="Times New Roman"/>
          <w:kern w:val="1"/>
          <w:sz w:val="24"/>
          <w:szCs w:val="24"/>
          <w:lang w:eastAsia="hi-IN" w:bidi="hi-IN"/>
        </w:rPr>
        <w:t>deciles</w:t>
      </w:r>
      <w:proofErr w:type="spellEnd"/>
      <w:r w:rsidRPr="00C61D1D">
        <w:rPr>
          <w:rFonts w:ascii="Times New Roman" w:eastAsia="Times New Roman" w:hAnsi="Times New Roman" w:cs="Times New Roman"/>
          <w:kern w:val="1"/>
          <w:sz w:val="24"/>
          <w:szCs w:val="24"/>
          <w:lang w:eastAsia="hi-IN" w:bidi="hi-IN"/>
        </w:rPr>
        <w:t>), podrían estar afirmando una dirección hacia la disminución de las brechas sociales correspondientes.</w:t>
      </w:r>
    </w:p>
    <w:p w:rsidR="00C61D1D" w:rsidRPr="00C61D1D" w:rsidRDefault="00C61D1D" w:rsidP="00C61D1D">
      <w:pPr>
        <w:suppressAutoHyphens/>
        <w:spacing w:before="28" w:after="0" w:line="360" w:lineRule="auto"/>
        <w:ind w:right="-1" w:firstLine="709"/>
        <w:jc w:val="both"/>
        <w:rPr>
          <w:rFonts w:ascii="Times New Roman" w:eastAsia="Times New Roman" w:hAnsi="Times New Roman" w:cs="Times New Roman"/>
          <w:kern w:val="1"/>
          <w:sz w:val="24"/>
          <w:szCs w:val="24"/>
          <w:lang w:eastAsia="hi-IN" w:bidi="hi-IN"/>
        </w:rPr>
      </w:pPr>
    </w:p>
    <w:p w:rsidR="00C61D1D" w:rsidRDefault="00C61D1D" w:rsidP="00DE09DC">
      <w:pPr>
        <w:suppressAutoHyphens/>
        <w:spacing w:before="28" w:after="0" w:line="480" w:lineRule="auto"/>
        <w:jc w:val="both"/>
        <w:rPr>
          <w:rFonts w:ascii="Times New Roman" w:eastAsia="Times New Roman" w:hAnsi="Times New Roman" w:cs="Times New Roman"/>
          <w:kern w:val="1"/>
          <w:sz w:val="24"/>
          <w:szCs w:val="24"/>
          <w:lang w:eastAsia="hi-IN" w:bidi="hi-IN"/>
        </w:rPr>
      </w:pPr>
      <w:r w:rsidRPr="00C61D1D">
        <w:rPr>
          <w:rFonts w:ascii="Times New Roman" w:eastAsia="Times New Roman" w:hAnsi="Times New Roman" w:cs="Times New Roman"/>
          <w:kern w:val="1"/>
          <w:sz w:val="24"/>
          <w:szCs w:val="24"/>
          <w:lang w:eastAsia="hi-IN" w:bidi="hi-IN"/>
        </w:rPr>
        <w:t xml:space="preserve">La movilización de los principales movimientos y actores sociales en un sentido convergente a los objetivos de los gobiernos de izquierda o centroizquierda y la constitución de alianzas o coaliciones </w:t>
      </w:r>
      <w:r w:rsidR="00453360">
        <w:rPr>
          <w:rFonts w:ascii="Times New Roman" w:eastAsia="Times New Roman" w:hAnsi="Times New Roman" w:cs="Times New Roman"/>
          <w:kern w:val="1"/>
          <w:sz w:val="24"/>
          <w:szCs w:val="24"/>
          <w:lang w:eastAsia="hi-IN" w:bidi="hi-IN"/>
        </w:rPr>
        <w:t xml:space="preserve">distributivas </w:t>
      </w:r>
      <w:r w:rsidRPr="00C61D1D">
        <w:rPr>
          <w:rFonts w:ascii="Times New Roman" w:eastAsia="Times New Roman" w:hAnsi="Times New Roman" w:cs="Times New Roman"/>
          <w:kern w:val="1"/>
          <w:sz w:val="24"/>
          <w:szCs w:val="24"/>
          <w:lang w:eastAsia="hi-IN" w:bidi="hi-IN"/>
        </w:rPr>
        <w:t>(</w:t>
      </w:r>
      <w:r>
        <w:rPr>
          <w:rFonts w:ascii="Times New Roman" w:eastAsia="Times New Roman" w:hAnsi="Times New Roman" w:cs="Times New Roman"/>
          <w:kern w:val="1"/>
          <w:sz w:val="24"/>
          <w:szCs w:val="24"/>
          <w:lang w:eastAsia="hi-IN" w:bidi="hi-IN"/>
        </w:rPr>
        <w:t xml:space="preserve">relativamente </w:t>
      </w:r>
      <w:r w:rsidRPr="00C61D1D">
        <w:rPr>
          <w:rFonts w:ascii="Times New Roman" w:eastAsia="Times New Roman" w:hAnsi="Times New Roman" w:cs="Times New Roman"/>
          <w:kern w:val="1"/>
          <w:sz w:val="24"/>
          <w:szCs w:val="24"/>
          <w:lang w:eastAsia="hi-IN" w:bidi="hi-IN"/>
        </w:rPr>
        <w:t>estables</w:t>
      </w:r>
      <w:r>
        <w:rPr>
          <w:rFonts w:ascii="Times New Roman" w:eastAsia="Times New Roman" w:hAnsi="Times New Roman" w:cs="Times New Roman"/>
          <w:kern w:val="1"/>
          <w:sz w:val="24"/>
          <w:szCs w:val="24"/>
          <w:lang w:eastAsia="hi-IN" w:bidi="hi-IN"/>
        </w:rPr>
        <w:t xml:space="preserve"> y robustas</w:t>
      </w:r>
      <w:r w:rsidRPr="00C61D1D">
        <w:rPr>
          <w:rFonts w:ascii="Times New Roman" w:eastAsia="Times New Roman" w:hAnsi="Times New Roman" w:cs="Times New Roman"/>
          <w:kern w:val="1"/>
          <w:sz w:val="24"/>
          <w:szCs w:val="24"/>
          <w:lang w:eastAsia="hi-IN" w:bidi="hi-IN"/>
        </w:rPr>
        <w:t>), permiten explicar la hipótesis central en algunas de las arenas específicas</w:t>
      </w:r>
      <w:r w:rsidR="00AC2E6C">
        <w:rPr>
          <w:rFonts w:ascii="Times New Roman" w:eastAsia="Times New Roman" w:hAnsi="Times New Roman" w:cs="Times New Roman"/>
          <w:kern w:val="1"/>
          <w:sz w:val="24"/>
          <w:szCs w:val="24"/>
          <w:lang w:eastAsia="hi-IN" w:bidi="hi-IN"/>
        </w:rPr>
        <w:t xml:space="preserve"> (trabajo y seguridad social)</w:t>
      </w:r>
      <w:r w:rsidRPr="00C61D1D">
        <w:rPr>
          <w:rFonts w:ascii="Times New Roman" w:eastAsia="Times New Roman" w:hAnsi="Times New Roman" w:cs="Times New Roman"/>
          <w:kern w:val="1"/>
          <w:sz w:val="24"/>
          <w:szCs w:val="24"/>
          <w:lang w:eastAsia="hi-IN" w:bidi="hi-IN"/>
        </w:rPr>
        <w:t>, y más limitadamente en consideración al conjunto de las políticas sociales. A tales propósitos</w:t>
      </w:r>
      <w:ins w:id="123" w:author="Claudia" w:date="2018-10-30T19:39:00Z">
        <w:r w:rsidR="00062EA3">
          <w:rPr>
            <w:rFonts w:ascii="Times New Roman" w:eastAsia="Times New Roman" w:hAnsi="Times New Roman" w:cs="Times New Roman"/>
            <w:kern w:val="1"/>
            <w:sz w:val="24"/>
            <w:szCs w:val="24"/>
            <w:lang w:eastAsia="hi-IN" w:bidi="hi-IN"/>
          </w:rPr>
          <w:t>,</w:t>
        </w:r>
      </w:ins>
      <w:r w:rsidRPr="00C61D1D">
        <w:rPr>
          <w:rFonts w:ascii="Times New Roman" w:eastAsia="Times New Roman" w:hAnsi="Times New Roman" w:cs="Times New Roman"/>
          <w:kern w:val="1"/>
          <w:sz w:val="24"/>
          <w:szCs w:val="24"/>
          <w:lang w:eastAsia="hi-IN" w:bidi="hi-IN"/>
        </w:rPr>
        <w:t xml:space="preserve"> el diseño metodológico sustentado en una investigación cualitativa de tipo histórico-comparado habilitó la recolección de la evidencia empírica necesaria, tanto para dar cuenta de las transformaciones de las matrices de bienestar como </w:t>
      </w:r>
      <w:ins w:id="124" w:author="Claudia" w:date="2018-10-30T19:40:00Z">
        <w:r w:rsidR="00062EA3">
          <w:rPr>
            <w:rFonts w:ascii="Times New Roman" w:eastAsia="Times New Roman" w:hAnsi="Times New Roman" w:cs="Times New Roman"/>
            <w:kern w:val="1"/>
            <w:sz w:val="24"/>
            <w:szCs w:val="24"/>
            <w:lang w:eastAsia="hi-IN" w:bidi="hi-IN"/>
          </w:rPr>
          <w:t>d</w:t>
        </w:r>
      </w:ins>
      <w:r w:rsidRPr="00C61D1D">
        <w:rPr>
          <w:rFonts w:ascii="Times New Roman" w:eastAsia="Times New Roman" w:hAnsi="Times New Roman" w:cs="Times New Roman"/>
          <w:kern w:val="1"/>
          <w:sz w:val="24"/>
          <w:szCs w:val="24"/>
          <w:lang w:eastAsia="hi-IN" w:bidi="hi-IN"/>
        </w:rPr>
        <w:t>el soporte que han tenido los gobiernos para su reconfiguración en la dirección antes señalada.</w:t>
      </w:r>
      <w:r w:rsidR="00AC2E6C">
        <w:rPr>
          <w:rFonts w:ascii="Times New Roman" w:eastAsia="Times New Roman" w:hAnsi="Times New Roman" w:cs="Times New Roman"/>
          <w:kern w:val="1"/>
          <w:sz w:val="24"/>
          <w:szCs w:val="24"/>
          <w:lang w:eastAsia="hi-IN" w:bidi="hi-IN"/>
        </w:rPr>
        <w:t xml:space="preserve"> Resta aún un camino a recorrer, sobre todo en cuanto a comparar las diversas modalidades de articulación de las coaliciones en ambos países, y sus correlatos específicos en términos del bienestar conquistado.  </w:t>
      </w:r>
    </w:p>
    <w:p w:rsidR="00C61D1D" w:rsidRPr="007D2E03" w:rsidRDefault="003F5E70" w:rsidP="007D2E03">
      <w:pPr>
        <w:suppressAutoHyphens/>
        <w:spacing w:before="28" w:after="0" w:line="480" w:lineRule="auto"/>
        <w:ind w:right="-1"/>
        <w:jc w:val="both"/>
        <w:rPr>
          <w:rFonts w:ascii="Times New Roman" w:eastAsia="Times New Roman" w:hAnsi="Times New Roman" w:cs="Times New Roman"/>
          <w:b/>
          <w:kern w:val="1"/>
          <w:sz w:val="24"/>
          <w:szCs w:val="24"/>
          <w:lang w:val="es-UY" w:eastAsia="hi-IN" w:bidi="hi-IN"/>
        </w:rPr>
      </w:pPr>
      <w:r>
        <w:rPr>
          <w:rFonts w:ascii="Times New Roman" w:eastAsia="Times New Roman" w:hAnsi="Times New Roman" w:cs="Times New Roman"/>
          <w:b/>
          <w:kern w:val="1"/>
          <w:sz w:val="24"/>
          <w:szCs w:val="24"/>
          <w:lang w:val="es-UY" w:eastAsia="hi-IN" w:bidi="hi-IN"/>
        </w:rPr>
        <w:t xml:space="preserve">5. </w:t>
      </w:r>
      <w:r w:rsidR="00C61D1D" w:rsidRPr="007D2E03">
        <w:rPr>
          <w:rFonts w:ascii="Times New Roman" w:eastAsia="Times New Roman" w:hAnsi="Times New Roman" w:cs="Times New Roman"/>
          <w:b/>
          <w:kern w:val="1"/>
          <w:sz w:val="24"/>
          <w:szCs w:val="24"/>
          <w:lang w:val="es-UY" w:eastAsia="hi-IN" w:bidi="hi-IN"/>
        </w:rPr>
        <w:t>Referencias bibliográficas</w:t>
      </w:r>
    </w:p>
    <w:p w:rsidR="00E93074" w:rsidRDefault="00C91739" w:rsidP="007D2E03">
      <w:pPr>
        <w:suppressAutoHyphens/>
        <w:spacing w:before="28" w:after="0" w:line="480" w:lineRule="auto"/>
        <w:ind w:right="-1"/>
        <w:jc w:val="both"/>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kern w:val="1"/>
          <w:sz w:val="24"/>
          <w:szCs w:val="24"/>
          <w:lang w:val="es-UY" w:eastAsia="hi-IN" w:bidi="hi-IN"/>
        </w:rPr>
        <w:t xml:space="preserve">- Barrientos, Armando (2012) </w:t>
      </w:r>
      <w:r w:rsidRPr="00C91739">
        <w:rPr>
          <w:rFonts w:ascii="Times New Roman" w:eastAsia="Times New Roman" w:hAnsi="Times New Roman" w:cs="Times New Roman"/>
          <w:kern w:val="1"/>
          <w:sz w:val="24"/>
          <w:szCs w:val="24"/>
          <w:lang w:eastAsia="hi-IN" w:bidi="hi-IN"/>
        </w:rPr>
        <w:t>Dilemas de las políticas sociales latinoamericanas ¿Hacia una protección social fragmentada?</w:t>
      </w:r>
      <w:r>
        <w:rPr>
          <w:rFonts w:ascii="Times New Roman" w:eastAsia="Times New Roman" w:hAnsi="Times New Roman" w:cs="Times New Roman"/>
          <w:kern w:val="1"/>
          <w:sz w:val="24"/>
          <w:szCs w:val="24"/>
          <w:lang w:eastAsia="hi-IN" w:bidi="hi-IN"/>
        </w:rPr>
        <w:t xml:space="preserve"> en </w:t>
      </w:r>
      <w:r w:rsidRPr="00C91739">
        <w:rPr>
          <w:rFonts w:ascii="Times New Roman" w:eastAsia="Times New Roman" w:hAnsi="Times New Roman" w:cs="Times New Roman"/>
          <w:i/>
          <w:kern w:val="1"/>
          <w:sz w:val="24"/>
          <w:szCs w:val="24"/>
          <w:lang w:eastAsia="hi-IN" w:bidi="hi-IN"/>
        </w:rPr>
        <w:t>Nueva Sociedad</w:t>
      </w:r>
      <w:r w:rsidRPr="00C91739">
        <w:rPr>
          <w:rFonts w:ascii="Times New Roman" w:eastAsia="Times New Roman" w:hAnsi="Times New Roman" w:cs="Times New Roman"/>
          <w:kern w:val="1"/>
          <w:sz w:val="24"/>
          <w:szCs w:val="24"/>
          <w:lang w:eastAsia="hi-IN" w:bidi="hi-IN"/>
        </w:rPr>
        <w:t xml:space="preserve"> No 239, mayo</w:t>
      </w:r>
      <w:r>
        <w:rPr>
          <w:rFonts w:ascii="Times New Roman" w:eastAsia="Times New Roman" w:hAnsi="Times New Roman" w:cs="Times New Roman"/>
          <w:kern w:val="1"/>
          <w:sz w:val="24"/>
          <w:szCs w:val="24"/>
          <w:lang w:eastAsia="hi-IN" w:bidi="hi-IN"/>
        </w:rPr>
        <w:t>-junio de 2012, ISSN: 0251-3552.</w:t>
      </w:r>
    </w:p>
    <w:p w:rsidR="00686027" w:rsidRDefault="00686027" w:rsidP="00F31F9D">
      <w:pPr>
        <w:suppressAutoHyphens/>
        <w:spacing w:before="28" w:after="0" w:line="480" w:lineRule="auto"/>
        <w:ind w:right="-1"/>
        <w:jc w:val="both"/>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kern w:val="1"/>
          <w:sz w:val="24"/>
          <w:szCs w:val="24"/>
          <w:lang w:eastAsia="hi-IN" w:bidi="hi-IN"/>
        </w:rPr>
        <w:t xml:space="preserve">- </w:t>
      </w:r>
      <w:proofErr w:type="spellStart"/>
      <w:r w:rsidRPr="00686027">
        <w:rPr>
          <w:rFonts w:ascii="Times New Roman" w:eastAsia="Times New Roman" w:hAnsi="Times New Roman" w:cs="Times New Roman"/>
          <w:kern w:val="1"/>
          <w:sz w:val="24"/>
          <w:szCs w:val="24"/>
          <w:lang w:val="es-MX" w:eastAsia="hi-IN" w:bidi="hi-IN"/>
        </w:rPr>
        <w:t>Bobbio</w:t>
      </w:r>
      <w:proofErr w:type="spellEnd"/>
      <w:r w:rsidRPr="00686027">
        <w:rPr>
          <w:rFonts w:ascii="Times New Roman" w:eastAsia="Times New Roman" w:hAnsi="Times New Roman" w:cs="Times New Roman"/>
          <w:kern w:val="1"/>
          <w:sz w:val="24"/>
          <w:szCs w:val="24"/>
          <w:lang w:val="es-MX" w:eastAsia="hi-IN" w:bidi="hi-IN"/>
        </w:rPr>
        <w:t>, Norberto (1995) Derecha e Izquierda. Razones y significados de una distinción política. Editorial Taurus, Madrid</w:t>
      </w:r>
    </w:p>
    <w:p w:rsidR="00E93074" w:rsidRDefault="000F7169" w:rsidP="007D2E03">
      <w:pPr>
        <w:suppressAutoHyphens/>
        <w:spacing w:before="28" w:after="0" w:line="480" w:lineRule="auto"/>
        <w:ind w:right="-1"/>
        <w:jc w:val="both"/>
        <w:rPr>
          <w:rFonts w:ascii="Times New Roman" w:hAnsi="Times New Roman" w:cs="Times New Roman"/>
          <w:sz w:val="24"/>
          <w:szCs w:val="24"/>
        </w:rPr>
      </w:pPr>
      <w:r>
        <w:rPr>
          <w:rFonts w:ascii="Times New Roman" w:eastAsia="Times New Roman" w:hAnsi="Times New Roman" w:cs="Times New Roman"/>
          <w:kern w:val="1"/>
          <w:sz w:val="24"/>
          <w:szCs w:val="24"/>
          <w:lang w:eastAsia="hi-IN" w:bidi="hi-IN"/>
        </w:rPr>
        <w:t xml:space="preserve">- </w:t>
      </w:r>
      <w:proofErr w:type="spellStart"/>
      <w:r w:rsidR="00E93074" w:rsidRPr="000F7169">
        <w:rPr>
          <w:rFonts w:ascii="Times New Roman" w:hAnsi="Times New Roman" w:cs="Times New Roman"/>
          <w:sz w:val="24"/>
          <w:szCs w:val="24"/>
          <w:lang w:val="es-UY"/>
        </w:rPr>
        <w:t>Danani</w:t>
      </w:r>
      <w:proofErr w:type="spellEnd"/>
      <w:r w:rsidR="00E93074" w:rsidRPr="000F7169">
        <w:rPr>
          <w:rFonts w:ascii="Times New Roman" w:hAnsi="Times New Roman" w:cs="Times New Roman"/>
          <w:sz w:val="24"/>
          <w:szCs w:val="24"/>
          <w:lang w:val="es-UY"/>
        </w:rPr>
        <w:t xml:space="preserve">, </w:t>
      </w:r>
      <w:r w:rsidRPr="000F7169">
        <w:rPr>
          <w:rFonts w:ascii="Times New Roman" w:hAnsi="Times New Roman" w:cs="Times New Roman"/>
          <w:sz w:val="24"/>
          <w:szCs w:val="24"/>
          <w:lang w:val="es-UY"/>
        </w:rPr>
        <w:t xml:space="preserve">Claudia </w:t>
      </w:r>
      <w:r w:rsidR="00E93074" w:rsidRPr="000F7169">
        <w:rPr>
          <w:rFonts w:ascii="Times New Roman" w:hAnsi="Times New Roman" w:cs="Times New Roman"/>
          <w:sz w:val="24"/>
          <w:szCs w:val="24"/>
          <w:lang w:val="es-UY"/>
        </w:rPr>
        <w:t>(2016)</w:t>
      </w:r>
      <w:r w:rsidR="00F001AA">
        <w:rPr>
          <w:rFonts w:ascii="Times New Roman" w:hAnsi="Times New Roman" w:cs="Times New Roman"/>
          <w:sz w:val="24"/>
          <w:szCs w:val="24"/>
          <w:lang w:val="es-UY"/>
        </w:rPr>
        <w:t xml:space="preserve"> </w:t>
      </w:r>
      <w:r w:rsidRPr="000F7169">
        <w:rPr>
          <w:rFonts w:ascii="Times New Roman" w:hAnsi="Times New Roman" w:cs="Times New Roman"/>
          <w:sz w:val="24"/>
          <w:szCs w:val="24"/>
        </w:rPr>
        <w:t>Las políticas públicas del área de desarrollo social durante los gobiernos de Néstor Kirchner y Cristina Fernández</w:t>
      </w:r>
      <w:r>
        <w:rPr>
          <w:rFonts w:ascii="Times New Roman" w:hAnsi="Times New Roman" w:cs="Times New Roman"/>
          <w:sz w:val="24"/>
          <w:szCs w:val="24"/>
        </w:rPr>
        <w:t xml:space="preserve"> en Revista Análisis N° 12. FES. Buenos Aires.</w:t>
      </w:r>
    </w:p>
    <w:p w:rsidR="00E43187" w:rsidRDefault="00E43187" w:rsidP="007D2E03">
      <w:pPr>
        <w:suppressAutoHyphens/>
        <w:spacing w:before="28" w:after="0" w:line="48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r w:rsidRPr="00E43187">
        <w:rPr>
          <w:rFonts w:ascii="Times New Roman" w:hAnsi="Times New Roman" w:cs="Times New Roman"/>
          <w:sz w:val="24"/>
          <w:szCs w:val="24"/>
          <w:lang w:val="es-UY"/>
        </w:rPr>
        <w:t>Del Valle, Alejandro y Boga Dante, Jeremías (2010)</w:t>
      </w:r>
      <w:r w:rsidRPr="00E43187">
        <w:rPr>
          <w:rFonts w:ascii="Times New Roman" w:hAnsi="Times New Roman" w:cs="Times New Roman"/>
          <w:sz w:val="24"/>
          <w:szCs w:val="24"/>
        </w:rPr>
        <w:t xml:space="preserve"> Protección Social y Transformaciones de las Políticas Sociales en Argentina </w:t>
      </w:r>
      <w:r w:rsidRPr="00E43187">
        <w:rPr>
          <w:rFonts w:ascii="Times New Roman" w:hAnsi="Times New Roman" w:cs="Times New Roman"/>
          <w:i/>
          <w:sz w:val="24"/>
          <w:szCs w:val="24"/>
        </w:rPr>
        <w:t xml:space="preserve">Textos &amp; Contextos, vol. 14, núm. 2. </w:t>
      </w:r>
      <w:r w:rsidRPr="00E43187">
        <w:rPr>
          <w:rFonts w:ascii="Times New Roman" w:hAnsi="Times New Roman" w:cs="Times New Roman"/>
          <w:sz w:val="24"/>
          <w:szCs w:val="24"/>
        </w:rPr>
        <w:t>Porto Alegre.</w:t>
      </w:r>
    </w:p>
    <w:p w:rsidR="005E1A39" w:rsidRDefault="005E1A39" w:rsidP="007D2E03">
      <w:pPr>
        <w:suppressAutoHyphens/>
        <w:spacing w:before="28" w:after="0" w:line="48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Draibe</w:t>
      </w:r>
      <w:proofErr w:type="spellEnd"/>
      <w:r>
        <w:rPr>
          <w:rFonts w:ascii="Times New Roman" w:hAnsi="Times New Roman" w:cs="Times New Roman"/>
          <w:sz w:val="24"/>
          <w:szCs w:val="24"/>
        </w:rPr>
        <w:t xml:space="preserve">, Sonia y Riesco, Manuel (2006) </w:t>
      </w:r>
      <w:r w:rsidRPr="005E1A39">
        <w:rPr>
          <w:rFonts w:ascii="Times New Roman" w:hAnsi="Times New Roman" w:cs="Times New Roman"/>
          <w:sz w:val="24"/>
          <w:szCs w:val="24"/>
        </w:rPr>
        <w:t>Estado de bienestar, desarrollo económico y ciudadanía: algunas lecciones de la literatura contemporánea</w:t>
      </w:r>
      <w:r>
        <w:rPr>
          <w:rFonts w:ascii="Times New Roman" w:hAnsi="Times New Roman" w:cs="Times New Roman"/>
          <w:sz w:val="24"/>
          <w:szCs w:val="24"/>
        </w:rPr>
        <w:t xml:space="preserve">. </w:t>
      </w:r>
      <w:r w:rsidRPr="005E1A39">
        <w:rPr>
          <w:rFonts w:ascii="Times New Roman" w:hAnsi="Times New Roman" w:cs="Times New Roman"/>
          <w:i/>
          <w:sz w:val="24"/>
          <w:szCs w:val="24"/>
        </w:rPr>
        <w:t>Serie Estudios y Perspectivas.</w:t>
      </w:r>
      <w:r>
        <w:rPr>
          <w:rFonts w:ascii="Times New Roman" w:hAnsi="Times New Roman" w:cs="Times New Roman"/>
          <w:sz w:val="24"/>
          <w:szCs w:val="24"/>
        </w:rPr>
        <w:t xml:space="preserve"> CEPAL. México. </w:t>
      </w:r>
    </w:p>
    <w:p w:rsidR="007D2E03" w:rsidRPr="007D2E03" w:rsidRDefault="007D2E03" w:rsidP="007D2E03">
      <w:pPr>
        <w:suppressAutoHyphens/>
        <w:spacing w:before="28" w:after="0" w:line="480" w:lineRule="auto"/>
        <w:ind w:right="-1"/>
        <w:jc w:val="both"/>
        <w:rPr>
          <w:rFonts w:ascii="Times New Roman" w:hAnsi="Times New Roman" w:cs="Times New Roman"/>
          <w:sz w:val="24"/>
          <w:szCs w:val="24"/>
          <w:lang w:val="es-UY"/>
        </w:rPr>
      </w:pPr>
      <w:r w:rsidRPr="006A4979">
        <w:rPr>
          <w:rFonts w:ascii="Times New Roman" w:hAnsi="Times New Roman" w:cs="Times New Roman"/>
          <w:sz w:val="24"/>
          <w:szCs w:val="24"/>
          <w:lang w:val="es-UY"/>
        </w:rPr>
        <w:t xml:space="preserve">- </w:t>
      </w:r>
      <w:proofErr w:type="spellStart"/>
      <w:r w:rsidRPr="006A4979">
        <w:rPr>
          <w:rFonts w:ascii="Times New Roman" w:hAnsi="Times New Roman" w:cs="Times New Roman"/>
          <w:sz w:val="24"/>
          <w:szCs w:val="24"/>
          <w:lang w:val="es-UY"/>
        </w:rPr>
        <w:t>Esping</w:t>
      </w:r>
      <w:proofErr w:type="spellEnd"/>
      <w:r w:rsidRPr="006A4979">
        <w:rPr>
          <w:rFonts w:ascii="Times New Roman" w:hAnsi="Times New Roman" w:cs="Times New Roman"/>
          <w:sz w:val="24"/>
          <w:szCs w:val="24"/>
          <w:lang w:val="es-UY"/>
        </w:rPr>
        <w:t xml:space="preserve">-Andersen, </w:t>
      </w:r>
      <w:proofErr w:type="spellStart"/>
      <w:r w:rsidRPr="006A4979">
        <w:rPr>
          <w:rFonts w:ascii="Times New Roman" w:hAnsi="Times New Roman" w:cs="Times New Roman"/>
          <w:sz w:val="24"/>
          <w:szCs w:val="24"/>
          <w:lang w:val="es-UY"/>
        </w:rPr>
        <w:t>Gøsta</w:t>
      </w:r>
      <w:proofErr w:type="spellEnd"/>
      <w:r w:rsidRPr="006A4979">
        <w:rPr>
          <w:rFonts w:ascii="Times New Roman" w:hAnsi="Times New Roman" w:cs="Times New Roman"/>
          <w:sz w:val="24"/>
          <w:szCs w:val="24"/>
          <w:lang w:val="es-UY"/>
        </w:rPr>
        <w:t xml:space="preserve"> (1993)</w:t>
      </w:r>
      <w:r w:rsidR="002067C6">
        <w:rPr>
          <w:rFonts w:ascii="Times New Roman" w:hAnsi="Times New Roman" w:cs="Times New Roman"/>
          <w:sz w:val="24"/>
          <w:szCs w:val="24"/>
          <w:lang w:val="es-UY"/>
        </w:rPr>
        <w:t xml:space="preserve"> </w:t>
      </w:r>
      <w:r w:rsidRPr="007D2E03">
        <w:rPr>
          <w:rFonts w:ascii="Times New Roman" w:hAnsi="Times New Roman" w:cs="Times New Roman"/>
          <w:sz w:val="24"/>
          <w:szCs w:val="24"/>
          <w:lang w:val="es-UY"/>
        </w:rPr>
        <w:t>Los tres mundos del Estado del bienestar</w:t>
      </w:r>
      <w:r w:rsidR="006A4979">
        <w:rPr>
          <w:rFonts w:ascii="Times New Roman" w:hAnsi="Times New Roman" w:cs="Times New Roman"/>
          <w:sz w:val="24"/>
          <w:szCs w:val="24"/>
          <w:lang w:val="es-UY"/>
        </w:rPr>
        <w:t xml:space="preserve">. </w:t>
      </w:r>
      <w:proofErr w:type="spellStart"/>
      <w:r w:rsidRPr="007D2E03">
        <w:rPr>
          <w:rFonts w:ascii="Times New Roman" w:hAnsi="Times New Roman" w:cs="Times New Roman"/>
          <w:sz w:val="24"/>
          <w:szCs w:val="24"/>
          <w:lang w:val="es-UY"/>
        </w:rPr>
        <w:t>Alfons</w:t>
      </w:r>
      <w:proofErr w:type="spellEnd"/>
      <w:r w:rsidRPr="007D2E03">
        <w:rPr>
          <w:rFonts w:ascii="Times New Roman" w:hAnsi="Times New Roman" w:cs="Times New Roman"/>
          <w:sz w:val="24"/>
          <w:szCs w:val="24"/>
          <w:lang w:val="es-UY"/>
        </w:rPr>
        <w:t xml:space="preserve"> el </w:t>
      </w:r>
      <w:proofErr w:type="spellStart"/>
      <w:r w:rsidRPr="007D2E03">
        <w:rPr>
          <w:rFonts w:ascii="Times New Roman" w:hAnsi="Times New Roman" w:cs="Times New Roman"/>
          <w:sz w:val="24"/>
          <w:szCs w:val="24"/>
          <w:lang w:val="es-UY"/>
        </w:rPr>
        <w:t>Magnanim</w:t>
      </w:r>
      <w:proofErr w:type="spellEnd"/>
      <w:r w:rsidR="006A4979">
        <w:rPr>
          <w:rFonts w:ascii="Times New Roman" w:hAnsi="Times New Roman" w:cs="Times New Roman"/>
          <w:sz w:val="24"/>
          <w:szCs w:val="24"/>
          <w:lang w:val="es-UY"/>
        </w:rPr>
        <w:t>. Valencia.</w:t>
      </w:r>
    </w:p>
    <w:p w:rsidR="00D774D3" w:rsidRDefault="00D774D3" w:rsidP="007D2E03">
      <w:pPr>
        <w:suppressAutoHyphens/>
        <w:spacing w:before="28" w:after="0" w:line="48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Filgueira</w:t>
      </w:r>
      <w:proofErr w:type="spellEnd"/>
      <w:r>
        <w:rPr>
          <w:rFonts w:ascii="Times New Roman" w:hAnsi="Times New Roman" w:cs="Times New Roman"/>
          <w:sz w:val="24"/>
          <w:szCs w:val="24"/>
        </w:rPr>
        <w:t>, Fernando (2015) Modelos</w:t>
      </w:r>
      <w:r w:rsidRPr="00D774D3">
        <w:rPr>
          <w:rFonts w:ascii="Times New Roman" w:hAnsi="Times New Roman" w:cs="Times New Roman"/>
          <w:sz w:val="24"/>
          <w:szCs w:val="24"/>
        </w:rPr>
        <w:t xml:space="preserve"> de desarrollo, matriz del Estado social y herramientas de las políticas sociales latinoamericanas</w:t>
      </w:r>
      <w:r>
        <w:rPr>
          <w:rFonts w:ascii="Times New Roman" w:hAnsi="Times New Roman" w:cs="Times New Roman"/>
          <w:sz w:val="24"/>
          <w:szCs w:val="24"/>
        </w:rPr>
        <w:t xml:space="preserve"> en </w:t>
      </w:r>
      <w:r w:rsidRPr="00D774D3">
        <w:rPr>
          <w:rFonts w:ascii="Times New Roman" w:hAnsi="Times New Roman" w:cs="Times New Roman"/>
          <w:i/>
          <w:sz w:val="24"/>
          <w:szCs w:val="24"/>
        </w:rPr>
        <w:t>Instrumentos de protección social Caminos latinoamericanos hacia la universalización</w:t>
      </w:r>
      <w:r w:rsidR="007219A2">
        <w:rPr>
          <w:rFonts w:ascii="Times New Roman" w:hAnsi="Times New Roman" w:cs="Times New Roman"/>
          <w:i/>
          <w:sz w:val="24"/>
          <w:szCs w:val="24"/>
        </w:rPr>
        <w:t xml:space="preserve">, </w:t>
      </w:r>
      <w:proofErr w:type="spellStart"/>
      <w:r w:rsidR="003D232A" w:rsidRPr="003D232A">
        <w:rPr>
          <w:rFonts w:ascii="Times New Roman" w:hAnsi="Times New Roman" w:cs="Times New Roman"/>
          <w:sz w:val="24"/>
          <w:szCs w:val="24"/>
        </w:rPr>
        <w:t>Cecchini</w:t>
      </w:r>
      <w:proofErr w:type="spellEnd"/>
      <w:r w:rsidR="003D232A" w:rsidRPr="003D232A">
        <w:rPr>
          <w:rFonts w:ascii="Times New Roman" w:hAnsi="Times New Roman" w:cs="Times New Roman"/>
          <w:sz w:val="24"/>
          <w:szCs w:val="24"/>
        </w:rPr>
        <w:t xml:space="preserve">, Simone et al. Editores. </w:t>
      </w:r>
      <w:r w:rsidR="003D232A">
        <w:rPr>
          <w:rFonts w:ascii="Times New Roman" w:hAnsi="Times New Roman" w:cs="Times New Roman"/>
          <w:sz w:val="24"/>
          <w:szCs w:val="24"/>
        </w:rPr>
        <w:t>CEPAL. Santiago de Chile.</w:t>
      </w:r>
    </w:p>
    <w:p w:rsidR="00D774D3" w:rsidRDefault="003D232A" w:rsidP="007D2E03">
      <w:pPr>
        <w:suppressAutoHyphens/>
        <w:spacing w:before="28" w:after="0" w:line="48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Filgueira</w:t>
      </w:r>
      <w:proofErr w:type="spellEnd"/>
      <w:r>
        <w:rPr>
          <w:rFonts w:ascii="Times New Roman" w:hAnsi="Times New Roman" w:cs="Times New Roman"/>
          <w:sz w:val="24"/>
          <w:szCs w:val="24"/>
        </w:rPr>
        <w:t xml:space="preserve">, Fernando y Alegre, Pablo </w:t>
      </w:r>
      <w:r w:rsidR="005F360D">
        <w:rPr>
          <w:rFonts w:ascii="Times New Roman" w:hAnsi="Times New Roman" w:cs="Times New Roman"/>
          <w:sz w:val="24"/>
          <w:szCs w:val="24"/>
        </w:rPr>
        <w:t xml:space="preserve">(2008) </w:t>
      </w:r>
      <w:r w:rsidR="005F360D" w:rsidRPr="005F360D">
        <w:rPr>
          <w:rFonts w:ascii="Times New Roman" w:hAnsi="Times New Roman" w:cs="Times New Roman"/>
          <w:sz w:val="24"/>
          <w:szCs w:val="24"/>
        </w:rPr>
        <w:t>El sistema de protección social y de relaciones laborales en Uruguay: balance y perspectivas (1985-2009)</w:t>
      </w:r>
      <w:r w:rsidR="005F360D">
        <w:rPr>
          <w:rFonts w:ascii="Times New Roman" w:hAnsi="Times New Roman" w:cs="Times New Roman"/>
          <w:sz w:val="24"/>
          <w:szCs w:val="24"/>
        </w:rPr>
        <w:t xml:space="preserve"> en </w:t>
      </w:r>
      <w:r w:rsidR="005F360D" w:rsidRPr="005F360D">
        <w:rPr>
          <w:rFonts w:ascii="Times New Roman" w:hAnsi="Times New Roman" w:cs="Times New Roman"/>
          <w:i/>
          <w:sz w:val="24"/>
          <w:szCs w:val="24"/>
        </w:rPr>
        <w:t>Documentos de Trabajo del IPES. Monitor Social del Uruguay.</w:t>
      </w:r>
      <w:r w:rsidR="005F360D">
        <w:rPr>
          <w:rFonts w:ascii="Times New Roman" w:hAnsi="Times New Roman" w:cs="Times New Roman"/>
          <w:sz w:val="24"/>
          <w:szCs w:val="24"/>
        </w:rPr>
        <w:t xml:space="preserve"> Universidad Católica. Montevideo</w:t>
      </w:r>
    </w:p>
    <w:p w:rsidR="00E43187" w:rsidRDefault="00E43187" w:rsidP="007D2E03">
      <w:pPr>
        <w:suppressAutoHyphens/>
        <w:spacing w:before="28" w:after="0" w:line="480" w:lineRule="auto"/>
        <w:jc w:val="both"/>
        <w:rPr>
          <w:rFonts w:ascii="Times New Roman" w:hAnsi="Times New Roman" w:cs="Times New Roman"/>
          <w:bCs/>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Gambina</w:t>
      </w:r>
      <w:proofErr w:type="spellEnd"/>
      <w:r w:rsidR="004C5567">
        <w:rPr>
          <w:rFonts w:ascii="Times New Roman" w:hAnsi="Times New Roman" w:cs="Times New Roman"/>
          <w:sz w:val="24"/>
          <w:szCs w:val="24"/>
        </w:rPr>
        <w:t xml:space="preserve">, Julio C. (2008) </w:t>
      </w:r>
      <w:r w:rsidR="004C5567" w:rsidRPr="004C5567">
        <w:rPr>
          <w:rFonts w:ascii="Times New Roman" w:hAnsi="Times New Roman" w:cs="Times New Roman"/>
          <w:bCs/>
          <w:sz w:val="24"/>
          <w:szCs w:val="24"/>
        </w:rPr>
        <w:t>A 7 años de la pueblada del 2001</w:t>
      </w:r>
      <w:r w:rsidR="004C5567">
        <w:rPr>
          <w:rFonts w:ascii="Times New Roman" w:hAnsi="Times New Roman" w:cs="Times New Roman"/>
          <w:bCs/>
          <w:sz w:val="24"/>
          <w:szCs w:val="24"/>
        </w:rPr>
        <w:t xml:space="preserve">. </w:t>
      </w:r>
      <w:r w:rsidR="004C5567" w:rsidRPr="004C5567">
        <w:rPr>
          <w:rFonts w:ascii="Times New Roman" w:hAnsi="Times New Roman" w:cs="Times New Roman"/>
          <w:bCs/>
          <w:sz w:val="24"/>
          <w:szCs w:val="24"/>
        </w:rPr>
        <w:t>Algunas reflexiones sobre el movimiento popular argentino</w:t>
      </w:r>
      <w:r w:rsidR="004C5567">
        <w:rPr>
          <w:rFonts w:ascii="Times New Roman" w:hAnsi="Times New Roman" w:cs="Times New Roman"/>
          <w:bCs/>
          <w:sz w:val="24"/>
          <w:szCs w:val="24"/>
        </w:rPr>
        <w:t xml:space="preserve">. </w:t>
      </w:r>
      <w:hyperlink r:id="rId13" w:history="1">
        <w:r w:rsidR="007D2E03" w:rsidRPr="000040E2">
          <w:rPr>
            <w:rStyle w:val="Hipervnculo"/>
            <w:rFonts w:ascii="Times New Roman" w:hAnsi="Times New Roman" w:cs="Times New Roman"/>
            <w:bCs/>
            <w:sz w:val="24"/>
            <w:szCs w:val="24"/>
          </w:rPr>
          <w:t>www.fisyp.org.ar/media/uploads/movsoc.doc</w:t>
        </w:r>
      </w:hyperlink>
    </w:p>
    <w:p w:rsidR="005561B9" w:rsidRDefault="005561B9" w:rsidP="007D2E03">
      <w:pPr>
        <w:suppressAutoHyphens/>
        <w:spacing w:before="28" w:after="0" w:line="480" w:lineRule="auto"/>
        <w:jc w:val="both"/>
        <w:rPr>
          <w:rFonts w:ascii="Times New Roman" w:hAnsi="Times New Roman" w:cs="Times New Roman"/>
          <w:sz w:val="24"/>
          <w:szCs w:val="24"/>
          <w:lang w:val="es-UY"/>
        </w:rPr>
      </w:pPr>
      <w:r>
        <w:rPr>
          <w:rFonts w:ascii="Times New Roman" w:hAnsi="Times New Roman" w:cs="Times New Roman"/>
          <w:sz w:val="24"/>
          <w:szCs w:val="24"/>
        </w:rPr>
        <w:t xml:space="preserve">- </w:t>
      </w:r>
      <w:proofErr w:type="spellStart"/>
      <w:r w:rsidRPr="005561B9">
        <w:rPr>
          <w:rFonts w:ascii="Times New Roman" w:hAnsi="Times New Roman" w:cs="Times New Roman"/>
          <w:sz w:val="24"/>
          <w:szCs w:val="24"/>
          <w:lang w:val="es-UY"/>
        </w:rPr>
        <w:t>Giddens</w:t>
      </w:r>
      <w:proofErr w:type="spellEnd"/>
      <w:r w:rsidRPr="005561B9">
        <w:rPr>
          <w:rFonts w:ascii="Times New Roman" w:hAnsi="Times New Roman" w:cs="Times New Roman"/>
          <w:sz w:val="24"/>
          <w:szCs w:val="24"/>
          <w:lang w:val="es-UY"/>
        </w:rPr>
        <w:t>, Anthony (2011) Más allá de la izquierda y la derecha. El futuro de las políticas radicales. Ed. CATEDRA. Madrid</w:t>
      </w:r>
    </w:p>
    <w:p w:rsidR="005F360D" w:rsidRPr="005F360D" w:rsidRDefault="005F360D" w:rsidP="007D2E03">
      <w:pPr>
        <w:suppressAutoHyphens/>
        <w:spacing w:before="28" w:after="0" w:line="480" w:lineRule="auto"/>
        <w:ind w:right="-1"/>
        <w:jc w:val="both"/>
        <w:rPr>
          <w:rFonts w:ascii="Times New Roman" w:hAnsi="Times New Roman" w:cs="Times New Roman"/>
          <w:sz w:val="24"/>
          <w:szCs w:val="24"/>
          <w:lang w:val="es-UY"/>
        </w:rPr>
      </w:pPr>
      <w:r>
        <w:rPr>
          <w:rFonts w:ascii="Times New Roman" w:hAnsi="Times New Roman" w:cs="Times New Roman"/>
          <w:sz w:val="24"/>
          <w:szCs w:val="24"/>
          <w:lang w:val="es-UY"/>
        </w:rPr>
        <w:t xml:space="preserve">- Martínez, Juliana (2008) </w:t>
      </w:r>
      <w:r w:rsidRPr="005F360D">
        <w:rPr>
          <w:rFonts w:ascii="Times New Roman" w:hAnsi="Times New Roman" w:cs="Times New Roman"/>
          <w:sz w:val="24"/>
          <w:szCs w:val="24"/>
        </w:rPr>
        <w:t>Domesticar la incertidumbre en América Latina Mercado laboral, política social y familias</w:t>
      </w:r>
      <w:r w:rsidR="00E43187">
        <w:rPr>
          <w:rFonts w:ascii="Times New Roman" w:hAnsi="Times New Roman" w:cs="Times New Roman"/>
          <w:sz w:val="24"/>
          <w:szCs w:val="24"/>
        </w:rPr>
        <w:t xml:space="preserve">. CLACSO. Editorial UCR. San José de Costa Rica.  </w:t>
      </w:r>
    </w:p>
    <w:p w:rsidR="00905D17" w:rsidRDefault="005F360D" w:rsidP="007D2E03">
      <w:pPr>
        <w:suppressAutoHyphens/>
        <w:spacing w:before="28" w:after="0" w:line="480" w:lineRule="auto"/>
        <w:ind w:right="-1"/>
        <w:jc w:val="both"/>
        <w:rPr>
          <w:rFonts w:ascii="Times New Roman" w:eastAsia="Times New Roman" w:hAnsi="Times New Roman" w:cs="Times New Roman"/>
          <w:kern w:val="1"/>
          <w:sz w:val="24"/>
          <w:szCs w:val="24"/>
          <w:lang w:eastAsia="hi-IN" w:bidi="hi-IN"/>
        </w:rPr>
      </w:pPr>
      <w:r w:rsidRPr="00905D17">
        <w:rPr>
          <w:rFonts w:ascii="Times New Roman" w:eastAsia="Times New Roman" w:hAnsi="Times New Roman" w:cs="Times New Roman"/>
          <w:kern w:val="1"/>
          <w:sz w:val="24"/>
          <w:szCs w:val="24"/>
          <w:lang w:val="es-UY" w:eastAsia="hi-IN" w:bidi="hi-IN"/>
        </w:rPr>
        <w:t xml:space="preserve">- </w:t>
      </w:r>
      <w:r w:rsidR="00686027" w:rsidRPr="00905D17">
        <w:rPr>
          <w:rFonts w:ascii="Times New Roman" w:eastAsia="Times New Roman" w:hAnsi="Times New Roman" w:cs="Times New Roman"/>
          <w:kern w:val="1"/>
          <w:sz w:val="24"/>
          <w:szCs w:val="24"/>
          <w:lang w:val="es-UY" w:eastAsia="hi-IN" w:bidi="hi-IN"/>
        </w:rPr>
        <w:t xml:space="preserve">Mesa Lago, Carmelo (2000) </w:t>
      </w:r>
      <w:r w:rsidR="00905D17">
        <w:rPr>
          <w:rFonts w:ascii="Times New Roman" w:eastAsia="Times New Roman" w:hAnsi="Times New Roman" w:cs="Times New Roman"/>
          <w:kern w:val="1"/>
          <w:sz w:val="24"/>
          <w:szCs w:val="24"/>
          <w:lang w:val="es-UY" w:eastAsia="hi-IN" w:bidi="hi-IN"/>
        </w:rPr>
        <w:t>Desarrollo</w:t>
      </w:r>
      <w:r w:rsidR="00905D17" w:rsidRPr="00905D17">
        <w:rPr>
          <w:rFonts w:ascii="Times New Roman" w:eastAsia="Times New Roman" w:hAnsi="Times New Roman" w:cs="Times New Roman"/>
          <w:kern w:val="1"/>
          <w:sz w:val="24"/>
          <w:szCs w:val="24"/>
          <w:lang w:eastAsia="hi-IN" w:bidi="hi-IN"/>
        </w:rPr>
        <w:t>social, reforma del Estado y de la seguridad social, al umbral del siglo XXI</w:t>
      </w:r>
      <w:r w:rsidR="00905D17">
        <w:rPr>
          <w:rFonts w:ascii="Times New Roman" w:eastAsia="Times New Roman" w:hAnsi="Times New Roman" w:cs="Times New Roman"/>
          <w:kern w:val="1"/>
          <w:sz w:val="24"/>
          <w:szCs w:val="24"/>
          <w:lang w:eastAsia="hi-IN" w:bidi="hi-IN"/>
        </w:rPr>
        <w:t>.</w:t>
      </w:r>
      <w:r w:rsidR="00905D17" w:rsidRPr="00905D17">
        <w:rPr>
          <w:rFonts w:ascii="Times New Roman" w:eastAsia="Times New Roman" w:hAnsi="Times New Roman" w:cs="Times New Roman"/>
          <w:kern w:val="1"/>
          <w:sz w:val="24"/>
          <w:szCs w:val="24"/>
          <w:lang w:eastAsia="hi-IN" w:bidi="hi-IN"/>
        </w:rPr>
        <w:t xml:space="preserve"> CEPAL - SERIE Políticas sociales</w:t>
      </w:r>
      <w:r w:rsidR="00905D17">
        <w:rPr>
          <w:rFonts w:ascii="Times New Roman" w:eastAsia="Times New Roman" w:hAnsi="Times New Roman" w:cs="Times New Roman"/>
          <w:kern w:val="1"/>
          <w:sz w:val="24"/>
          <w:szCs w:val="24"/>
          <w:lang w:eastAsia="hi-IN" w:bidi="hi-IN"/>
        </w:rPr>
        <w:t xml:space="preserve"> N°36. Santiago de Chile. </w:t>
      </w:r>
    </w:p>
    <w:p w:rsidR="00C61D1D" w:rsidRDefault="00905D17" w:rsidP="007D2E03">
      <w:pPr>
        <w:suppressAutoHyphens/>
        <w:spacing w:before="28" w:after="0" w:line="480" w:lineRule="auto"/>
        <w:ind w:right="-1"/>
        <w:jc w:val="both"/>
        <w:rPr>
          <w:rFonts w:ascii="Times New Roman" w:eastAsia="Times New Roman" w:hAnsi="Times New Roman" w:cs="Times New Roman"/>
          <w:kern w:val="1"/>
          <w:sz w:val="24"/>
          <w:szCs w:val="24"/>
          <w:lang w:val="es-UY" w:eastAsia="hi-IN" w:bidi="hi-IN"/>
        </w:rPr>
      </w:pPr>
      <w:r w:rsidRPr="00905D17">
        <w:rPr>
          <w:rFonts w:ascii="Times New Roman" w:eastAsia="Times New Roman" w:hAnsi="Times New Roman" w:cs="Times New Roman"/>
          <w:kern w:val="1"/>
          <w:sz w:val="24"/>
          <w:szCs w:val="24"/>
          <w:lang w:val="es-UY" w:eastAsia="hi-IN" w:bidi="hi-IN"/>
        </w:rPr>
        <w:t xml:space="preserve">- </w:t>
      </w:r>
      <w:proofErr w:type="spellStart"/>
      <w:r w:rsidR="00E93074" w:rsidRPr="00905D17">
        <w:rPr>
          <w:rFonts w:ascii="Times New Roman" w:eastAsia="Times New Roman" w:hAnsi="Times New Roman" w:cs="Times New Roman"/>
          <w:kern w:val="1"/>
          <w:sz w:val="24"/>
          <w:szCs w:val="24"/>
          <w:lang w:val="es-UY" w:eastAsia="hi-IN" w:bidi="hi-IN"/>
        </w:rPr>
        <w:t>Midaglia</w:t>
      </w:r>
      <w:proofErr w:type="spellEnd"/>
      <w:r>
        <w:rPr>
          <w:rFonts w:ascii="Times New Roman" w:eastAsia="Times New Roman" w:hAnsi="Times New Roman" w:cs="Times New Roman"/>
          <w:kern w:val="1"/>
          <w:sz w:val="24"/>
          <w:szCs w:val="24"/>
          <w:lang w:val="es-UY" w:eastAsia="hi-IN" w:bidi="hi-IN"/>
        </w:rPr>
        <w:t xml:space="preserve">, Carmen </w:t>
      </w:r>
      <w:r w:rsidR="00E93074" w:rsidRPr="00905D17">
        <w:rPr>
          <w:rFonts w:ascii="Times New Roman" w:eastAsia="Times New Roman" w:hAnsi="Times New Roman" w:cs="Times New Roman"/>
          <w:kern w:val="1"/>
          <w:sz w:val="24"/>
          <w:szCs w:val="24"/>
          <w:lang w:val="es-UY" w:eastAsia="hi-IN" w:bidi="hi-IN"/>
        </w:rPr>
        <w:t>(2005</w:t>
      </w:r>
      <w:r>
        <w:rPr>
          <w:rFonts w:ascii="Times New Roman" w:eastAsia="Times New Roman" w:hAnsi="Times New Roman" w:cs="Times New Roman"/>
          <w:kern w:val="1"/>
          <w:sz w:val="24"/>
          <w:szCs w:val="24"/>
          <w:lang w:val="es-UY" w:eastAsia="hi-IN" w:bidi="hi-IN"/>
        </w:rPr>
        <w:t xml:space="preserve">) </w:t>
      </w:r>
      <w:r w:rsidR="009E1842" w:rsidRPr="00905D17">
        <w:rPr>
          <w:rFonts w:ascii="Times New Roman" w:eastAsia="Times New Roman" w:hAnsi="Times New Roman" w:cs="Times New Roman"/>
          <w:kern w:val="1"/>
          <w:sz w:val="24"/>
          <w:szCs w:val="24"/>
          <w:lang w:val="es-UY" w:eastAsia="hi-IN" w:bidi="hi-IN"/>
        </w:rPr>
        <w:t xml:space="preserve">Entre la tradición, la modernización ingenua y los intentos de refundar la casa: la reforma social en el Uruguay de las últimas tres décadas </w:t>
      </w:r>
      <w:r w:rsidR="009E1842" w:rsidRPr="00905D17">
        <w:rPr>
          <w:rFonts w:ascii="Times New Roman" w:eastAsia="Times New Roman" w:hAnsi="Times New Roman" w:cs="Times New Roman"/>
          <w:i/>
          <w:kern w:val="1"/>
          <w:sz w:val="24"/>
          <w:szCs w:val="24"/>
          <w:lang w:val="es-UY" w:eastAsia="hi-IN" w:bidi="hi-IN"/>
        </w:rPr>
        <w:t>en Carlos Barba Solano (</w:t>
      </w:r>
      <w:proofErr w:type="spellStart"/>
      <w:r w:rsidR="009E1842" w:rsidRPr="00905D17">
        <w:rPr>
          <w:rFonts w:ascii="Times New Roman" w:eastAsia="Times New Roman" w:hAnsi="Times New Roman" w:cs="Times New Roman"/>
          <w:i/>
          <w:kern w:val="1"/>
          <w:sz w:val="24"/>
          <w:szCs w:val="24"/>
          <w:lang w:val="es-UY" w:eastAsia="hi-IN" w:bidi="hi-IN"/>
        </w:rPr>
        <w:t>comp</w:t>
      </w:r>
      <w:proofErr w:type="spellEnd"/>
      <w:r w:rsidR="009E1842" w:rsidRPr="00905D17">
        <w:rPr>
          <w:rFonts w:ascii="Times New Roman" w:eastAsia="Times New Roman" w:hAnsi="Times New Roman" w:cs="Times New Roman"/>
          <w:i/>
          <w:kern w:val="1"/>
          <w:sz w:val="24"/>
          <w:szCs w:val="24"/>
          <w:lang w:val="es-UY" w:eastAsia="hi-IN" w:bidi="hi-IN"/>
        </w:rPr>
        <w:t>). Retos para la integración social de los pobres en América Latina</w:t>
      </w:r>
      <w:r>
        <w:rPr>
          <w:rFonts w:ascii="Times New Roman" w:eastAsia="Times New Roman" w:hAnsi="Times New Roman" w:cs="Times New Roman"/>
          <w:i/>
          <w:kern w:val="1"/>
          <w:sz w:val="24"/>
          <w:szCs w:val="24"/>
          <w:lang w:val="es-UY" w:eastAsia="hi-IN" w:bidi="hi-IN"/>
        </w:rPr>
        <w:t xml:space="preserve">. </w:t>
      </w:r>
      <w:r w:rsidRPr="00905D17">
        <w:rPr>
          <w:rFonts w:ascii="Times New Roman" w:eastAsia="Times New Roman" w:hAnsi="Times New Roman" w:cs="Times New Roman"/>
          <w:kern w:val="1"/>
          <w:sz w:val="24"/>
          <w:szCs w:val="24"/>
          <w:lang w:val="es-UY" w:eastAsia="hi-IN" w:bidi="hi-IN"/>
        </w:rPr>
        <w:t>CLACSO. Buenos Aires.</w:t>
      </w:r>
    </w:p>
    <w:p w:rsidR="005E1A39" w:rsidRDefault="005E1A39" w:rsidP="007D2E03">
      <w:pPr>
        <w:suppressAutoHyphens/>
        <w:spacing w:before="28" w:after="0" w:line="480" w:lineRule="auto"/>
        <w:ind w:right="-1"/>
        <w:jc w:val="both"/>
        <w:rPr>
          <w:rFonts w:ascii="Times New Roman" w:eastAsia="Times New Roman" w:hAnsi="Times New Roman" w:cs="Times New Roman"/>
          <w:kern w:val="1"/>
          <w:sz w:val="24"/>
          <w:szCs w:val="24"/>
          <w:lang w:val="es-UY" w:eastAsia="hi-IN" w:bidi="hi-IN"/>
        </w:rPr>
      </w:pPr>
      <w:r>
        <w:rPr>
          <w:rFonts w:ascii="Times New Roman" w:eastAsia="Times New Roman" w:hAnsi="Times New Roman" w:cs="Times New Roman"/>
          <w:kern w:val="1"/>
          <w:sz w:val="24"/>
          <w:szCs w:val="24"/>
          <w:lang w:val="es-UY" w:eastAsia="hi-IN" w:bidi="hi-IN"/>
        </w:rPr>
        <w:t xml:space="preserve">- </w:t>
      </w:r>
      <w:proofErr w:type="spellStart"/>
      <w:r>
        <w:rPr>
          <w:rFonts w:ascii="Times New Roman" w:eastAsia="Times New Roman" w:hAnsi="Times New Roman" w:cs="Times New Roman"/>
          <w:kern w:val="1"/>
          <w:sz w:val="24"/>
          <w:szCs w:val="24"/>
          <w:lang w:val="es-UY" w:eastAsia="hi-IN" w:bidi="hi-IN"/>
        </w:rPr>
        <w:t>Offe</w:t>
      </w:r>
      <w:proofErr w:type="spellEnd"/>
      <w:r>
        <w:rPr>
          <w:rFonts w:ascii="Times New Roman" w:eastAsia="Times New Roman" w:hAnsi="Times New Roman" w:cs="Times New Roman"/>
          <w:kern w:val="1"/>
          <w:sz w:val="24"/>
          <w:szCs w:val="24"/>
          <w:lang w:val="es-UY" w:eastAsia="hi-IN" w:bidi="hi-IN"/>
        </w:rPr>
        <w:t xml:space="preserve">, Claus (1981) La democracia competitiva de partidos y las limitaciones históricas del Estado de bienestar keynesiano en </w:t>
      </w:r>
      <w:r w:rsidRPr="005E1A39">
        <w:rPr>
          <w:rFonts w:ascii="Times New Roman" w:eastAsia="Times New Roman" w:hAnsi="Times New Roman" w:cs="Times New Roman"/>
          <w:i/>
          <w:kern w:val="1"/>
          <w:sz w:val="24"/>
          <w:szCs w:val="24"/>
          <w:lang w:val="es-UY" w:eastAsia="hi-IN" w:bidi="hi-IN"/>
        </w:rPr>
        <w:t>Parlamento y democracia. Problemas y perspectivas en los años 80. Fundación Pablo Iglesias</w:t>
      </w:r>
      <w:r>
        <w:rPr>
          <w:rFonts w:ascii="Times New Roman" w:eastAsia="Times New Roman" w:hAnsi="Times New Roman" w:cs="Times New Roman"/>
          <w:kern w:val="1"/>
          <w:sz w:val="24"/>
          <w:szCs w:val="24"/>
          <w:lang w:val="es-UY" w:eastAsia="hi-IN" w:bidi="hi-IN"/>
        </w:rPr>
        <w:t xml:space="preserve">. Madrid </w:t>
      </w:r>
    </w:p>
    <w:p w:rsidR="007D2E03" w:rsidRPr="007D2E03" w:rsidRDefault="007D2E03" w:rsidP="007D2E03">
      <w:pPr>
        <w:suppressAutoHyphens/>
        <w:spacing w:before="28" w:after="0" w:line="480" w:lineRule="auto"/>
        <w:ind w:right="-1"/>
        <w:jc w:val="both"/>
        <w:rPr>
          <w:rFonts w:ascii="Times New Roman" w:eastAsia="Times New Roman" w:hAnsi="Times New Roman" w:cs="Times New Roman"/>
          <w:kern w:val="1"/>
          <w:sz w:val="24"/>
          <w:szCs w:val="24"/>
          <w:lang w:val="es-UY" w:eastAsia="hi-IN" w:bidi="hi-IN"/>
        </w:rPr>
      </w:pPr>
      <w:r>
        <w:rPr>
          <w:rFonts w:ascii="Times New Roman" w:eastAsia="Times New Roman" w:hAnsi="Times New Roman" w:cs="Times New Roman"/>
          <w:kern w:val="1"/>
          <w:sz w:val="24"/>
          <w:szCs w:val="24"/>
          <w:lang w:val="es-UY" w:eastAsia="hi-IN" w:bidi="hi-IN"/>
        </w:rPr>
        <w:t xml:space="preserve">- Ramos Morales, </w:t>
      </w:r>
      <w:proofErr w:type="spellStart"/>
      <w:r>
        <w:rPr>
          <w:rFonts w:ascii="Times New Roman" w:eastAsia="Times New Roman" w:hAnsi="Times New Roman" w:cs="Times New Roman"/>
          <w:kern w:val="1"/>
          <w:sz w:val="24"/>
          <w:szCs w:val="24"/>
          <w:lang w:val="es-UY" w:eastAsia="hi-IN" w:bidi="hi-IN"/>
        </w:rPr>
        <w:t>Leonidas</w:t>
      </w:r>
      <w:proofErr w:type="spellEnd"/>
      <w:r>
        <w:rPr>
          <w:rFonts w:ascii="Times New Roman" w:eastAsia="Times New Roman" w:hAnsi="Times New Roman" w:cs="Times New Roman"/>
          <w:kern w:val="1"/>
          <w:sz w:val="24"/>
          <w:szCs w:val="24"/>
          <w:lang w:val="es-UY" w:eastAsia="hi-IN" w:bidi="hi-IN"/>
        </w:rPr>
        <w:t xml:space="preserve"> L. (2012) </w:t>
      </w:r>
      <w:r w:rsidRPr="007D2E03">
        <w:rPr>
          <w:rFonts w:ascii="Times New Roman" w:eastAsia="Times New Roman" w:hAnsi="Times New Roman" w:cs="Times New Roman"/>
          <w:bCs/>
          <w:kern w:val="1"/>
          <w:sz w:val="24"/>
          <w:szCs w:val="24"/>
          <w:lang w:val="es-PE" w:eastAsia="hi-IN" w:bidi="hi-IN"/>
        </w:rPr>
        <w:t>Método comparado</w:t>
      </w:r>
      <w:r w:rsidRPr="007D2E03">
        <w:rPr>
          <w:rFonts w:ascii="Times New Roman" w:eastAsia="Times New Roman" w:hAnsi="Times New Roman" w:cs="Times New Roman"/>
          <w:kern w:val="1"/>
          <w:sz w:val="24"/>
          <w:szCs w:val="24"/>
          <w:lang w:eastAsia="hi-IN" w:bidi="hi-IN"/>
        </w:rPr>
        <w:t>: </w:t>
      </w:r>
      <w:r w:rsidRPr="007D2E03">
        <w:rPr>
          <w:rFonts w:ascii="Times New Roman" w:eastAsia="Times New Roman" w:hAnsi="Times New Roman" w:cs="Times New Roman"/>
          <w:bCs/>
          <w:kern w:val="1"/>
          <w:sz w:val="24"/>
          <w:szCs w:val="24"/>
          <w:lang w:val="es-PE" w:eastAsia="hi-IN" w:bidi="hi-IN"/>
        </w:rPr>
        <w:t>precisiones y características</w:t>
      </w:r>
      <w:r>
        <w:rPr>
          <w:rFonts w:ascii="Times New Roman" w:eastAsia="Times New Roman" w:hAnsi="Times New Roman" w:cs="Times New Roman"/>
          <w:bCs/>
          <w:kern w:val="1"/>
          <w:sz w:val="24"/>
          <w:szCs w:val="24"/>
          <w:lang w:val="es-PE" w:eastAsia="hi-IN" w:bidi="hi-IN"/>
        </w:rPr>
        <w:t xml:space="preserve">. </w:t>
      </w:r>
      <w:r w:rsidRPr="00832B89">
        <w:rPr>
          <w:rFonts w:ascii="Times New Roman" w:eastAsia="Times New Roman" w:hAnsi="Times New Roman" w:cs="Times New Roman"/>
          <w:bCs/>
          <w:iCs/>
          <w:kern w:val="1"/>
          <w:sz w:val="24"/>
          <w:szCs w:val="24"/>
          <w:lang w:val="pt-BR" w:eastAsia="hi-IN" w:bidi="hi-IN"/>
          <w:rPrChange w:id="125" w:author="Claudia" w:date="2018-10-30T17:03:00Z">
            <w:rPr>
              <w:rFonts w:ascii="Times New Roman" w:eastAsia="Times New Roman" w:hAnsi="Times New Roman" w:cs="Times New Roman"/>
              <w:bCs/>
              <w:iCs/>
              <w:kern w:val="1"/>
              <w:sz w:val="24"/>
              <w:szCs w:val="24"/>
              <w:lang w:eastAsia="hi-IN" w:bidi="hi-IN"/>
            </w:rPr>
          </w:rPrChange>
        </w:rPr>
        <w:t xml:space="preserve">Revista Nº16 </w:t>
      </w:r>
      <w:proofErr w:type="gramStart"/>
      <w:r w:rsidRPr="00832B89">
        <w:rPr>
          <w:rFonts w:ascii="Times New Roman" w:eastAsia="Times New Roman" w:hAnsi="Times New Roman" w:cs="Times New Roman"/>
          <w:bCs/>
          <w:iCs/>
          <w:kern w:val="1"/>
          <w:sz w:val="24"/>
          <w:szCs w:val="24"/>
          <w:lang w:val="pt-BR" w:eastAsia="hi-IN" w:bidi="hi-IN"/>
          <w:rPrChange w:id="126" w:author="Claudia" w:date="2018-10-30T17:03:00Z">
            <w:rPr>
              <w:rFonts w:ascii="Times New Roman" w:eastAsia="Times New Roman" w:hAnsi="Times New Roman" w:cs="Times New Roman"/>
              <w:bCs/>
              <w:iCs/>
              <w:kern w:val="1"/>
              <w:sz w:val="24"/>
              <w:szCs w:val="24"/>
              <w:lang w:eastAsia="hi-IN" w:bidi="hi-IN"/>
            </w:rPr>
          </w:rPrChange>
        </w:rPr>
        <w:t xml:space="preserve">" </w:t>
      </w:r>
      <w:proofErr w:type="gramEnd"/>
      <w:r w:rsidRPr="00832B89">
        <w:rPr>
          <w:rFonts w:ascii="Times New Roman" w:eastAsia="Times New Roman" w:hAnsi="Times New Roman" w:cs="Times New Roman"/>
          <w:bCs/>
          <w:iCs/>
          <w:kern w:val="1"/>
          <w:sz w:val="24"/>
          <w:szCs w:val="24"/>
          <w:lang w:val="pt-BR" w:eastAsia="hi-IN" w:bidi="hi-IN"/>
          <w:rPrChange w:id="127" w:author="Claudia" w:date="2018-10-30T17:03:00Z">
            <w:rPr>
              <w:rFonts w:ascii="Times New Roman" w:eastAsia="Times New Roman" w:hAnsi="Times New Roman" w:cs="Times New Roman"/>
              <w:bCs/>
              <w:iCs/>
              <w:kern w:val="1"/>
              <w:sz w:val="24"/>
              <w:szCs w:val="24"/>
              <w:lang w:eastAsia="hi-IN" w:bidi="hi-IN"/>
            </w:rPr>
          </w:rPrChange>
        </w:rPr>
        <w:t xml:space="preserve">TEORIA POLITICA E HISTORIA" Revista de </w:t>
      </w:r>
      <w:proofErr w:type="spellStart"/>
      <w:r w:rsidRPr="00832B89">
        <w:rPr>
          <w:rFonts w:ascii="Times New Roman" w:eastAsia="Times New Roman" w:hAnsi="Times New Roman" w:cs="Times New Roman"/>
          <w:bCs/>
          <w:iCs/>
          <w:kern w:val="1"/>
          <w:sz w:val="24"/>
          <w:szCs w:val="24"/>
          <w:lang w:val="pt-BR" w:eastAsia="hi-IN" w:bidi="hi-IN"/>
          <w:rPrChange w:id="128" w:author="Claudia" w:date="2018-10-30T17:03:00Z">
            <w:rPr>
              <w:rFonts w:ascii="Times New Roman" w:eastAsia="Times New Roman" w:hAnsi="Times New Roman" w:cs="Times New Roman"/>
              <w:bCs/>
              <w:iCs/>
              <w:kern w:val="1"/>
              <w:sz w:val="24"/>
              <w:szCs w:val="24"/>
              <w:lang w:eastAsia="hi-IN" w:bidi="hi-IN"/>
            </w:rPr>
          </w:rPrChange>
        </w:rPr>
        <w:t>Ciencia</w:t>
      </w:r>
      <w:proofErr w:type="spellEnd"/>
      <w:r w:rsidRPr="00832B89">
        <w:rPr>
          <w:rFonts w:ascii="Times New Roman" w:eastAsia="Times New Roman" w:hAnsi="Times New Roman" w:cs="Times New Roman"/>
          <w:bCs/>
          <w:iCs/>
          <w:kern w:val="1"/>
          <w:sz w:val="24"/>
          <w:szCs w:val="24"/>
          <w:lang w:val="pt-BR" w:eastAsia="hi-IN" w:bidi="hi-IN"/>
          <w:rPrChange w:id="129" w:author="Claudia" w:date="2018-10-30T17:03:00Z">
            <w:rPr>
              <w:rFonts w:ascii="Times New Roman" w:eastAsia="Times New Roman" w:hAnsi="Times New Roman" w:cs="Times New Roman"/>
              <w:bCs/>
              <w:iCs/>
              <w:kern w:val="1"/>
              <w:sz w:val="24"/>
              <w:szCs w:val="24"/>
              <w:lang w:eastAsia="hi-IN" w:bidi="hi-IN"/>
            </w:rPr>
          </w:rPrChange>
        </w:rPr>
        <w:t xml:space="preserve"> Política. </w:t>
      </w:r>
      <w:r w:rsidRPr="007D2E03">
        <w:rPr>
          <w:rFonts w:ascii="Times New Roman" w:eastAsia="Times New Roman" w:hAnsi="Times New Roman" w:cs="Times New Roman"/>
          <w:bCs/>
          <w:iCs/>
          <w:kern w:val="1"/>
          <w:sz w:val="24"/>
          <w:szCs w:val="24"/>
          <w:lang w:eastAsia="hi-IN" w:bidi="hi-IN"/>
        </w:rPr>
        <w:t xml:space="preserve">Buenos Aires. </w:t>
      </w:r>
    </w:p>
    <w:p w:rsidR="005561B9" w:rsidRDefault="005561B9" w:rsidP="007D2E03">
      <w:pPr>
        <w:suppressAutoHyphens/>
        <w:spacing w:before="28" w:after="0" w:line="480" w:lineRule="auto"/>
        <w:ind w:right="-1"/>
        <w:jc w:val="both"/>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kern w:val="1"/>
          <w:sz w:val="24"/>
          <w:szCs w:val="24"/>
          <w:lang w:val="es-UY" w:eastAsia="hi-IN" w:bidi="hi-IN"/>
        </w:rPr>
        <w:t xml:space="preserve">- Sartori, Giovanni (1998) </w:t>
      </w:r>
      <w:r w:rsidRPr="005561B9">
        <w:rPr>
          <w:rFonts w:ascii="Times New Roman" w:eastAsia="Times New Roman" w:hAnsi="Times New Roman" w:cs="Times New Roman"/>
          <w:kern w:val="1"/>
          <w:sz w:val="24"/>
          <w:szCs w:val="24"/>
          <w:lang w:eastAsia="hi-IN" w:bidi="hi-IN"/>
        </w:rPr>
        <w:t>¿Qué queda de la derecha y de la izquierda?</w:t>
      </w:r>
      <w:r>
        <w:rPr>
          <w:rFonts w:ascii="Times New Roman" w:eastAsia="Times New Roman" w:hAnsi="Times New Roman" w:cs="Times New Roman"/>
          <w:kern w:val="1"/>
          <w:sz w:val="24"/>
          <w:szCs w:val="24"/>
          <w:lang w:eastAsia="hi-IN" w:bidi="hi-IN"/>
        </w:rPr>
        <w:t xml:space="preserve"> En Conferencia organizadas por la SAAP, </w:t>
      </w:r>
      <w:hyperlink r:id="rId14" w:history="1">
        <w:r w:rsidRPr="000040E2">
          <w:rPr>
            <w:rStyle w:val="Hipervnculo"/>
            <w:rFonts w:ascii="Times New Roman" w:eastAsia="Times New Roman" w:hAnsi="Times New Roman" w:cs="Times New Roman"/>
            <w:kern w:val="1"/>
            <w:sz w:val="24"/>
            <w:szCs w:val="24"/>
            <w:lang w:eastAsia="hi-IN" w:bidi="hi-IN"/>
          </w:rPr>
          <w:t>www.revista.saap.org.ar</w:t>
        </w:r>
      </w:hyperlink>
    </w:p>
    <w:p w:rsidR="00E93074" w:rsidRDefault="005561B9" w:rsidP="007D2E03">
      <w:pPr>
        <w:suppressAutoHyphens/>
        <w:spacing w:before="28" w:after="0" w:line="480" w:lineRule="auto"/>
        <w:ind w:right="-1"/>
        <w:jc w:val="both"/>
        <w:rPr>
          <w:rFonts w:ascii="Times New Roman" w:hAnsi="Times New Roman" w:cs="Times New Roman"/>
          <w:sz w:val="24"/>
          <w:szCs w:val="24"/>
        </w:rPr>
      </w:pPr>
      <w:r>
        <w:rPr>
          <w:rFonts w:ascii="Times New Roman" w:eastAsia="Times New Roman" w:hAnsi="Times New Roman" w:cs="Times New Roman"/>
          <w:kern w:val="1"/>
          <w:sz w:val="24"/>
          <w:szCs w:val="24"/>
          <w:lang w:eastAsia="hi-IN" w:bidi="hi-IN"/>
        </w:rPr>
        <w:t xml:space="preserve">- </w:t>
      </w:r>
      <w:proofErr w:type="spellStart"/>
      <w:r w:rsidR="00E93074" w:rsidRPr="00E97625">
        <w:rPr>
          <w:rFonts w:ascii="Times New Roman" w:hAnsi="Times New Roman" w:cs="Times New Roman"/>
          <w:sz w:val="24"/>
          <w:szCs w:val="24"/>
        </w:rPr>
        <w:t>Vigorito</w:t>
      </w:r>
      <w:proofErr w:type="spellEnd"/>
      <w:r>
        <w:rPr>
          <w:rFonts w:ascii="Times New Roman" w:hAnsi="Times New Roman" w:cs="Times New Roman"/>
          <w:sz w:val="24"/>
          <w:szCs w:val="24"/>
        </w:rPr>
        <w:t>, Andrea,</w:t>
      </w:r>
      <w:r w:rsidR="00E93074" w:rsidRPr="00E97625">
        <w:rPr>
          <w:rFonts w:ascii="Times New Roman" w:hAnsi="Times New Roman" w:cs="Times New Roman"/>
          <w:sz w:val="24"/>
          <w:szCs w:val="24"/>
        </w:rPr>
        <w:t xml:space="preserve"> et al, </w:t>
      </w:r>
      <w:r>
        <w:rPr>
          <w:rFonts w:ascii="Times New Roman" w:hAnsi="Times New Roman" w:cs="Times New Roman"/>
          <w:sz w:val="24"/>
          <w:szCs w:val="24"/>
        </w:rPr>
        <w:t>(2009)</w:t>
      </w:r>
      <w:r w:rsidR="007219A2">
        <w:rPr>
          <w:rFonts w:ascii="Times New Roman" w:hAnsi="Times New Roman" w:cs="Times New Roman"/>
          <w:sz w:val="24"/>
          <w:szCs w:val="24"/>
        </w:rPr>
        <w:t xml:space="preserve"> </w:t>
      </w:r>
      <w:r w:rsidR="004C5567" w:rsidRPr="004C5567">
        <w:rPr>
          <w:rFonts w:ascii="Times New Roman" w:hAnsi="Times New Roman" w:cs="Times New Roman"/>
          <w:sz w:val="24"/>
          <w:szCs w:val="24"/>
        </w:rPr>
        <w:t>I</w:t>
      </w:r>
      <w:r w:rsidR="004C5567">
        <w:rPr>
          <w:rFonts w:ascii="Times New Roman" w:hAnsi="Times New Roman" w:cs="Times New Roman"/>
          <w:sz w:val="24"/>
          <w:szCs w:val="24"/>
        </w:rPr>
        <w:t>nforme Final de la Evaluación de Impacto del PANES. Ministerio de Desarrollo Social. Montevideo</w:t>
      </w:r>
    </w:p>
    <w:p w:rsidR="004C5567" w:rsidRPr="00C61D1D" w:rsidRDefault="004C5567" w:rsidP="007D2E03">
      <w:pPr>
        <w:suppressAutoHyphens/>
        <w:spacing w:before="28" w:after="0" w:line="480" w:lineRule="auto"/>
        <w:ind w:right="-1"/>
        <w:jc w:val="both"/>
        <w:rPr>
          <w:rFonts w:ascii="Times New Roman" w:hAnsi="Times New Roman" w:cs="Times New Roman"/>
          <w:b/>
          <w:sz w:val="24"/>
          <w:szCs w:val="24"/>
        </w:rPr>
      </w:pPr>
      <w:r>
        <w:rPr>
          <w:rFonts w:ascii="Times New Roman" w:hAnsi="Times New Roman" w:cs="Times New Roman"/>
          <w:sz w:val="24"/>
          <w:szCs w:val="24"/>
        </w:rPr>
        <w:t>- Vilas, Carlos M. (2016) Política,</w:t>
      </w:r>
      <w:r w:rsidRPr="004C5567">
        <w:rPr>
          <w:rFonts w:ascii="Times New Roman" w:hAnsi="Times New Roman" w:cs="Times New Roman"/>
          <w:sz w:val="24"/>
          <w:szCs w:val="24"/>
        </w:rPr>
        <w:t xml:space="preserve"> Estado y clases en el </w:t>
      </w:r>
      <w:proofErr w:type="spellStart"/>
      <w:r w:rsidRPr="004C5567">
        <w:rPr>
          <w:rFonts w:ascii="Times New Roman" w:hAnsi="Times New Roman" w:cs="Times New Roman"/>
          <w:sz w:val="24"/>
          <w:szCs w:val="24"/>
        </w:rPr>
        <w:t>kirchnerismo</w:t>
      </w:r>
      <w:proofErr w:type="spellEnd"/>
      <w:r w:rsidRPr="004C5567">
        <w:rPr>
          <w:rFonts w:ascii="Times New Roman" w:hAnsi="Times New Roman" w:cs="Times New Roman"/>
          <w:sz w:val="24"/>
          <w:szCs w:val="24"/>
        </w:rPr>
        <w:t xml:space="preserve">: una </w:t>
      </w:r>
      <w:r>
        <w:rPr>
          <w:rFonts w:ascii="Times New Roman" w:hAnsi="Times New Roman" w:cs="Times New Roman"/>
          <w:sz w:val="24"/>
          <w:szCs w:val="24"/>
        </w:rPr>
        <w:t xml:space="preserve">interpretación. Realidad Económica </w:t>
      </w:r>
      <w:r w:rsidRPr="004C5567">
        <w:rPr>
          <w:rFonts w:ascii="Times New Roman" w:hAnsi="Times New Roman" w:cs="Times New Roman"/>
          <w:sz w:val="24"/>
          <w:szCs w:val="24"/>
        </w:rPr>
        <w:t>305 (2016) pp. 33-63 ISSN 0325-1926</w:t>
      </w:r>
      <w:r>
        <w:rPr>
          <w:rFonts w:ascii="Times New Roman" w:hAnsi="Times New Roman" w:cs="Times New Roman"/>
          <w:sz w:val="24"/>
          <w:szCs w:val="24"/>
        </w:rPr>
        <w:t xml:space="preserve">. Buenos Aires. </w:t>
      </w:r>
    </w:p>
    <w:sectPr w:rsidR="004C5567" w:rsidRPr="00C61D1D" w:rsidSect="00964D07">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2" w:author="Claudia" w:date="2018-10-30T17:22:00Z" w:initials="C">
    <w:p w:rsidR="004703A5" w:rsidRDefault="004703A5">
      <w:pPr>
        <w:pStyle w:val="Textocomentario"/>
      </w:pPr>
      <w:r>
        <w:rPr>
          <w:rStyle w:val="Refdecomentario"/>
        </w:rPr>
        <w:annotationRef/>
      </w:r>
      <w:r>
        <w:t xml:space="preserve">Sugiero: “Bajo diferentes modalidades y grados, la participación en la definición de las estrategias y prioridades en materia de políticas sociales por parte de los actores o movimientos sociales (tanto los de dilatada trayectoria histórica como los de reciente </w:t>
      </w:r>
      <w:proofErr w:type="spellStart"/>
      <w:r>
        <w:t>conformaciòn</w:t>
      </w:r>
      <w:proofErr w:type="spellEnd"/>
      <w:r>
        <w:t>) contribuyó a la…</w:t>
      </w:r>
      <w:proofErr w:type="spellStart"/>
      <w:r>
        <w:t>etc</w:t>
      </w:r>
      <w:proofErr w:type="spellEnd"/>
      <w:r>
        <w:t>”</w:t>
      </w:r>
    </w:p>
  </w:comment>
  <w:comment w:id="52" w:author="Claudia" w:date="2018-10-30T17:35:00Z" w:initials="C">
    <w:p w:rsidR="002945C6" w:rsidRDefault="002945C6">
      <w:pPr>
        <w:pStyle w:val="Textocomentario"/>
      </w:pPr>
      <w:r>
        <w:rPr>
          <w:rStyle w:val="Refdecomentario"/>
        </w:rPr>
        <w:annotationRef/>
      </w:r>
      <w:r>
        <w:t>sugiero: artículo</w:t>
      </w:r>
    </w:p>
  </w:comment>
  <w:comment w:id="53" w:author="Claudia" w:date="2018-10-30T17:40:00Z" w:initials="C">
    <w:p w:rsidR="002945C6" w:rsidRDefault="002945C6">
      <w:pPr>
        <w:pStyle w:val="Textocomentario"/>
      </w:pPr>
      <w:r>
        <w:rPr>
          <w:rStyle w:val="Refdecomentario"/>
        </w:rPr>
        <w:annotationRef/>
      </w:r>
      <w:r>
        <w:t>se recomienda revisar, evitando la repetición de “económico” en dos renglones</w:t>
      </w:r>
    </w:p>
  </w:comment>
  <w:comment w:id="55" w:author="Claudia" w:date="2018-10-30T18:59:00Z" w:initials="C">
    <w:p w:rsidR="0090017B" w:rsidRDefault="0090017B">
      <w:pPr>
        <w:pStyle w:val="Textocomentario"/>
      </w:pPr>
      <w:r>
        <w:rPr>
          <w:rStyle w:val="Refdecomentario"/>
        </w:rPr>
        <w:annotationRef/>
      </w:r>
      <w:r>
        <w:t>no es aconsejable utilizar esta estimación, cuestionada por el propio INDEC, porque incluye un cambio metodológico que mueve a confusión. Se recomiendan otras fuentes; incluso el propio INDEC directo (“Porcentaje de la población que habita en hogares por debajo de la línea de pobreza” (ondas mayo y octubre). Disponible en Ministerio de Hacienda, julio 2018. Pueden elegirse total de aglomerados o GBA.</w:t>
      </w:r>
    </w:p>
  </w:comment>
  <w:comment w:id="59" w:author="Claudia" w:date="2018-10-30T17:50:00Z" w:initials="C">
    <w:p w:rsidR="00DB0D3F" w:rsidRDefault="00DB0D3F">
      <w:pPr>
        <w:pStyle w:val="Textocomentario"/>
      </w:pPr>
      <w:r>
        <w:rPr>
          <w:rStyle w:val="Refdecomentario"/>
        </w:rPr>
        <w:annotationRef/>
      </w:r>
      <w:proofErr w:type="spellStart"/>
      <w:r>
        <w:t>Alineaciòn</w:t>
      </w:r>
      <w:proofErr w:type="spellEnd"/>
      <w:r>
        <w:t xml:space="preserve"> izquierda, número arábigo, </w:t>
      </w:r>
      <w:proofErr w:type="spellStart"/>
      <w:r>
        <w:t>sòlo</w:t>
      </w:r>
      <w:proofErr w:type="spellEnd"/>
      <w:r>
        <w:t xml:space="preserve"> líneas horizontales</w:t>
      </w:r>
    </w:p>
  </w:comment>
  <w:comment w:id="68" w:author="Claudia" w:date="2018-10-30T17:54:00Z" w:initials="C">
    <w:p w:rsidR="00980F5B" w:rsidRDefault="00980F5B">
      <w:pPr>
        <w:pStyle w:val="Textocomentario"/>
      </w:pPr>
      <w:r>
        <w:rPr>
          <w:rStyle w:val="Refdecomentario"/>
        </w:rPr>
        <w:annotationRef/>
      </w:r>
      <w:r>
        <w:t>Se usa MTD como sigla o como abreviatura?</w:t>
      </w:r>
    </w:p>
  </w:comment>
  <w:comment w:id="74" w:author="Claudia" w:date="2018-10-30T17:56:00Z" w:initials="C">
    <w:p w:rsidR="00980F5B" w:rsidRDefault="00980F5B">
      <w:pPr>
        <w:pStyle w:val="Textocomentario"/>
      </w:pPr>
      <w:r>
        <w:rPr>
          <w:rStyle w:val="Refdecomentario"/>
        </w:rPr>
        <w:annotationRef/>
      </w:r>
      <w:r>
        <w:t xml:space="preserve">Incluir a la Asignación Universal </w:t>
      </w:r>
    </w:p>
  </w:comment>
  <w:comment w:id="81" w:author="Claudia" w:date="2018-10-30T17:59:00Z" w:initials="C">
    <w:p w:rsidR="00980F5B" w:rsidRPr="00980F5B" w:rsidRDefault="00980F5B">
      <w:pPr>
        <w:pStyle w:val="Textocomentario"/>
      </w:pPr>
      <w:r>
        <w:rPr>
          <w:rStyle w:val="Refdecomentario"/>
        </w:rPr>
        <w:annotationRef/>
      </w:r>
      <w:r>
        <w:t xml:space="preserve">Sugiero agregar </w:t>
      </w:r>
      <w:r>
        <w:rPr>
          <w:i/>
        </w:rPr>
        <w:t xml:space="preserve">reparto-capitalización </w:t>
      </w:r>
      <w:r>
        <w:t>y revisar la oración (el agregado es para que se entienda a qué se refiere “mixto”)</w:t>
      </w:r>
    </w:p>
  </w:comment>
  <w:comment w:id="86" w:author="Claudia" w:date="2018-10-30T18:11:00Z" w:initials="C">
    <w:p w:rsidR="00AA03B2" w:rsidRPr="00AA03B2" w:rsidRDefault="00AA03B2">
      <w:pPr>
        <w:pStyle w:val="Textocomentario"/>
      </w:pPr>
      <w:r>
        <w:rPr>
          <w:rStyle w:val="Refdecomentario"/>
        </w:rPr>
        <w:annotationRef/>
      </w:r>
      <w:r>
        <w:t xml:space="preserve">sugiero revisar: a) no se nacionalizaron las </w:t>
      </w:r>
      <w:proofErr w:type="spellStart"/>
      <w:r>
        <w:t>AFJPs</w:t>
      </w:r>
      <w:proofErr w:type="spellEnd"/>
      <w:r>
        <w:t xml:space="preserve"> sino los fondos previsionales (las </w:t>
      </w:r>
      <w:proofErr w:type="spellStart"/>
      <w:r>
        <w:t>AFJs</w:t>
      </w:r>
      <w:proofErr w:type="spellEnd"/>
      <w:r>
        <w:t xml:space="preserve"> fueron disueltas), el sistema que se repuso (“histórico”, correcto) es técnicamente  </w:t>
      </w:r>
      <w:r>
        <w:rPr>
          <w:i/>
        </w:rPr>
        <w:t xml:space="preserve">de reparto,(puede agregarse “con </w:t>
      </w:r>
      <w:proofErr w:type="spellStart"/>
      <w:r>
        <w:rPr>
          <w:i/>
        </w:rPr>
        <w:t>aistencia</w:t>
      </w:r>
      <w:proofErr w:type="spellEnd"/>
      <w:r>
        <w:rPr>
          <w:i/>
        </w:rPr>
        <w:t xml:space="preserve"> estatal”). </w:t>
      </w:r>
      <w:r>
        <w:t>No, los sindicatos no participaron ni participan.</w:t>
      </w:r>
    </w:p>
  </w:comment>
  <w:comment w:id="89" w:author="Claudia" w:date="2018-10-30T18:13:00Z" w:initials="C">
    <w:p w:rsidR="00AA03B2" w:rsidRDefault="00AA03B2">
      <w:pPr>
        <w:pStyle w:val="Textocomentario"/>
      </w:pPr>
      <w:r>
        <w:rPr>
          <w:rStyle w:val="Refdecomentario"/>
        </w:rPr>
        <w:annotationRef/>
      </w:r>
      <w:r>
        <w:t xml:space="preserve">No, </w:t>
      </w:r>
      <w:r w:rsidR="00E50FCD">
        <w:t>el aumento del gasto obedece al Plan de Inclusión Previsional (conocido como moratoria), no a la reposición del sistema de reparto.</w:t>
      </w:r>
    </w:p>
  </w:comment>
  <w:comment w:id="91" w:author="Claudia" w:date="2018-10-30T19:03:00Z" w:initials="C">
    <w:p w:rsidR="0090017B" w:rsidRDefault="0090017B">
      <w:pPr>
        <w:pStyle w:val="Textocomentario"/>
      </w:pPr>
      <w:r>
        <w:rPr>
          <w:rStyle w:val="Refdecomentario"/>
        </w:rPr>
        <w:annotationRef/>
      </w:r>
      <w:r>
        <w:t>Quien realiza esta evaluación no puede dejar de decir que la situación del sistema estadístico fue y es muy grave y no hay datos que puedan proporcionarse con seguridad. Estos datos del o de la autor@ están respaldados por la fuente que cita, pero son materia de una discusión sobre la que no hay acuerdo.</w:t>
      </w:r>
    </w:p>
  </w:comment>
  <w:comment w:id="93" w:author="Claudia" w:date="2018-10-30T19:31:00Z" w:initials="C">
    <w:p w:rsidR="00574F86" w:rsidRDefault="00574F86" w:rsidP="00574F86">
      <w:pPr>
        <w:pStyle w:val="Textocomentario"/>
      </w:pPr>
      <w:r>
        <w:rPr>
          <w:rStyle w:val="Refdecomentario"/>
        </w:rPr>
        <w:annotationRef/>
      </w:r>
      <w:proofErr w:type="spellStart"/>
      <w:r>
        <w:t>Alineaciòn</w:t>
      </w:r>
      <w:proofErr w:type="spellEnd"/>
      <w:r>
        <w:t xml:space="preserve"> izquierda, número arábigo, </w:t>
      </w:r>
      <w:proofErr w:type="spellStart"/>
      <w:r>
        <w:t>sòlo</w:t>
      </w:r>
      <w:proofErr w:type="spellEnd"/>
      <w:r>
        <w:t xml:space="preserve"> líneas horizontales</w:t>
      </w:r>
    </w:p>
    <w:p w:rsidR="00574F86" w:rsidRDefault="00574F86">
      <w:pPr>
        <w:pStyle w:val="Textocomentario"/>
      </w:pPr>
    </w:p>
  </w:comment>
  <w:comment w:id="94" w:author="Claudia" w:date="2018-10-30T19:31:00Z" w:initials="C">
    <w:p w:rsidR="00574F86" w:rsidRDefault="00574F86" w:rsidP="00574F86">
      <w:pPr>
        <w:pStyle w:val="Textocomentario"/>
      </w:pPr>
      <w:r>
        <w:rPr>
          <w:rStyle w:val="Refdecomentario"/>
        </w:rPr>
        <w:annotationRef/>
      </w:r>
      <w:proofErr w:type="spellStart"/>
      <w:r>
        <w:t>Alineaciòn</w:t>
      </w:r>
      <w:proofErr w:type="spellEnd"/>
      <w:r>
        <w:t xml:space="preserve"> izquierda, número arábigo</w:t>
      </w:r>
    </w:p>
    <w:p w:rsidR="00574F86" w:rsidRDefault="00574F86">
      <w:pPr>
        <w:pStyle w:val="Textocomentario"/>
      </w:pPr>
    </w:p>
  </w:comment>
  <w:comment w:id="96" w:author="Claudia" w:date="2018-10-30T19:11:00Z" w:initials="C">
    <w:p w:rsidR="009C222F" w:rsidRDefault="009C222F">
      <w:pPr>
        <w:pStyle w:val="Textocomentario"/>
      </w:pPr>
      <w:r>
        <w:rPr>
          <w:rStyle w:val="Refdecomentario"/>
        </w:rPr>
        <w:annotationRef/>
      </w:r>
      <w:r>
        <w:t>El lector/lectora debería contar con alguna referencia del episodio al que se refiere el artículo</w:t>
      </w:r>
    </w:p>
  </w:comment>
  <w:comment w:id="100" w:author="Claudia" w:date="2018-10-30T19:13:00Z" w:initials="C">
    <w:p w:rsidR="009C222F" w:rsidRDefault="009C222F">
      <w:pPr>
        <w:pStyle w:val="Textocomentario"/>
      </w:pPr>
      <w:r>
        <w:rPr>
          <w:rStyle w:val="Refdecomentario"/>
        </w:rPr>
        <w:annotationRef/>
      </w:r>
      <w:r>
        <w:t>Esta referencia temporal ya se hizo en un párrafo anterior</w:t>
      </w:r>
    </w:p>
  </w:comment>
  <w:comment w:id="103" w:author="Claudia" w:date="2018-10-30T19:17:00Z" w:initials="C">
    <w:p w:rsidR="00B65804" w:rsidRDefault="00B65804">
      <w:pPr>
        <w:pStyle w:val="Textocomentario"/>
      </w:pPr>
      <w:r>
        <w:rPr>
          <w:rStyle w:val="Refdecomentario"/>
        </w:rPr>
        <w:annotationRef/>
      </w:r>
      <w:r>
        <w:t>No queda claro en la lectura: ¿debió abandonarse o había sido abandonada?</w:t>
      </w:r>
    </w:p>
  </w:comment>
  <w:comment w:id="108" w:author="Claudia" w:date="2018-10-30T19:22:00Z" w:initials="C">
    <w:p w:rsidR="00DF0482" w:rsidRDefault="00DF0482" w:rsidP="00DF0482">
      <w:pPr>
        <w:autoSpaceDE w:val="0"/>
        <w:autoSpaceDN w:val="0"/>
        <w:adjustRightInd w:val="0"/>
        <w:spacing w:after="0" w:line="240" w:lineRule="auto"/>
        <w:rPr>
          <w:rFonts w:ascii="Times New Roman" w:hAnsi="Times New Roman" w:cs="Times New Roman"/>
          <w:color w:val="231F20"/>
          <w:sz w:val="23"/>
          <w:szCs w:val="23"/>
          <w:lang w:val="es-AR"/>
        </w:rPr>
      </w:pPr>
      <w:r>
        <w:rPr>
          <w:rStyle w:val="Refdecomentario"/>
        </w:rPr>
        <w:annotationRef/>
      </w:r>
      <w:r>
        <w:rPr>
          <w:rFonts w:ascii="Times New Roman" w:hAnsi="Times New Roman" w:cs="Times New Roman"/>
          <w:color w:val="231F20"/>
          <w:sz w:val="23"/>
          <w:szCs w:val="23"/>
          <w:lang w:val="es-AR"/>
        </w:rPr>
        <w:t>La norma APA INDICA: “</w:t>
      </w:r>
      <w:r>
        <w:rPr>
          <w:rFonts w:ascii="Times New Roman" w:hAnsi="Times New Roman" w:cs="Times New Roman"/>
          <w:color w:val="231F20"/>
          <w:sz w:val="23"/>
          <w:szCs w:val="23"/>
          <w:lang w:val="es-AR"/>
        </w:rPr>
        <w:t>Cuando son de tres a cinco autores, la primera vez que se citan se indican los apellidos de todos.</w:t>
      </w:r>
    </w:p>
    <w:p w:rsidR="00DF0482" w:rsidRDefault="00DF0482" w:rsidP="00DF0482">
      <w:pPr>
        <w:pStyle w:val="Textocomentario"/>
      </w:pPr>
      <w:r>
        <w:rPr>
          <w:rFonts w:cs="Times New Roman"/>
          <w:color w:val="231F20"/>
          <w:sz w:val="23"/>
          <w:szCs w:val="23"/>
          <w:lang w:val="es-AR"/>
        </w:rPr>
        <w:t>Posteriormente se cita solo el primero y se agrega et al, seguido de punto (et al.)</w:t>
      </w:r>
      <w:r>
        <w:rPr>
          <w:rFonts w:cs="Times New Roman"/>
          <w:color w:val="231F20"/>
          <w:sz w:val="23"/>
          <w:szCs w:val="23"/>
          <w:lang w:val="es-AR"/>
        </w:rPr>
        <w:t>” En este caso, el texto no fue citado antes, verificar si corresponde.</w:t>
      </w:r>
    </w:p>
  </w:comment>
  <w:comment w:id="109" w:author="Claudia" w:date="2018-10-30T19:28:00Z" w:initials="C">
    <w:p w:rsidR="00DF0482" w:rsidRDefault="00DF0482">
      <w:pPr>
        <w:pStyle w:val="Textocomentario"/>
      </w:pPr>
      <w:r>
        <w:rPr>
          <w:rStyle w:val="Refdecomentario"/>
        </w:rPr>
        <w:annotationRef/>
      </w:r>
      <w:r>
        <w:t>Sugiero revisar, porque se afirma “efecto inmediato”, pero la política es de 2008</w:t>
      </w:r>
      <w:r w:rsidR="005E520A">
        <w:t xml:space="preserve"> y se consigna dato de pobreza comparativo 2004-2014. </w:t>
      </w:r>
    </w:p>
  </w:comment>
  <w:comment w:id="110" w:author="Claudia" w:date="2018-10-30T19:32:00Z" w:initials="C">
    <w:p w:rsidR="00574F86" w:rsidRDefault="00574F86" w:rsidP="00574F86">
      <w:pPr>
        <w:pStyle w:val="Textocomentario"/>
      </w:pPr>
      <w:r>
        <w:rPr>
          <w:rStyle w:val="Refdecomentario"/>
        </w:rPr>
        <w:annotationRef/>
      </w:r>
      <w:proofErr w:type="spellStart"/>
      <w:r>
        <w:t>Alineaciòn</w:t>
      </w:r>
      <w:proofErr w:type="spellEnd"/>
      <w:r>
        <w:t xml:space="preserve"> izquierda, número arábigo, </w:t>
      </w:r>
      <w:proofErr w:type="spellStart"/>
      <w:r>
        <w:t>sòlo</w:t>
      </w:r>
      <w:proofErr w:type="spellEnd"/>
      <w:r>
        <w:t xml:space="preserve"> líneas horizontales</w:t>
      </w:r>
    </w:p>
    <w:p w:rsidR="00574F86" w:rsidRDefault="00574F86">
      <w:pPr>
        <w:pStyle w:val="Textocomentario"/>
      </w:pPr>
    </w:p>
  </w:comment>
  <w:comment w:id="112" w:author="Claudia" w:date="2018-10-30T19:29:00Z" w:initials="C">
    <w:p w:rsidR="005E520A" w:rsidRDefault="005E520A">
      <w:pPr>
        <w:pStyle w:val="Textocomentario"/>
      </w:pPr>
      <w:r>
        <w:rPr>
          <w:rStyle w:val="Refdecomentario"/>
        </w:rPr>
        <w:annotationRef/>
      </w:r>
      <w:proofErr w:type="spellStart"/>
      <w:r>
        <w:t>inicidió</w:t>
      </w:r>
      <w:proofErr w:type="spellEnd"/>
      <w:r>
        <w:t>?</w:t>
      </w:r>
    </w:p>
  </w:comment>
  <w:comment w:id="116" w:author="Claudia" w:date="2018-10-30T19:32:00Z" w:initials="C">
    <w:p w:rsidR="00574F86" w:rsidRDefault="00574F86" w:rsidP="00574F86">
      <w:pPr>
        <w:pStyle w:val="Textocomentario"/>
      </w:pPr>
      <w:r>
        <w:rPr>
          <w:rStyle w:val="Refdecomentario"/>
        </w:rPr>
        <w:annotationRef/>
      </w:r>
      <w:proofErr w:type="spellStart"/>
      <w:r>
        <w:t>Alineaciòn</w:t>
      </w:r>
      <w:proofErr w:type="spellEnd"/>
      <w:r>
        <w:t xml:space="preserve"> izquierda, número arábigo, </w:t>
      </w:r>
      <w:proofErr w:type="spellStart"/>
      <w:r>
        <w:t>sòlo</w:t>
      </w:r>
      <w:proofErr w:type="spellEnd"/>
      <w:r>
        <w:t xml:space="preserve"> líneas horizontales</w:t>
      </w:r>
    </w:p>
    <w:p w:rsidR="00574F86" w:rsidRDefault="00574F86">
      <w:pPr>
        <w:pStyle w:val="Textocomentario"/>
      </w:pPr>
    </w:p>
  </w:comment>
  <w:comment w:id="117" w:author="Claudia" w:date="2018-10-30T19:33:00Z" w:initials="C">
    <w:p w:rsidR="00574F86" w:rsidRDefault="00574F86" w:rsidP="00574F86">
      <w:pPr>
        <w:pStyle w:val="Textocomentario"/>
      </w:pPr>
      <w:r>
        <w:rPr>
          <w:rStyle w:val="Refdecomentario"/>
        </w:rPr>
        <w:annotationRef/>
      </w:r>
      <w:proofErr w:type="spellStart"/>
      <w:r>
        <w:t>Alineaciòn</w:t>
      </w:r>
      <w:proofErr w:type="spellEnd"/>
      <w:r>
        <w:t xml:space="preserve"> izquierda, número arábigo, </w:t>
      </w:r>
      <w:proofErr w:type="spellStart"/>
      <w:r>
        <w:t>sòlo</w:t>
      </w:r>
      <w:proofErr w:type="spellEnd"/>
      <w:r>
        <w:t xml:space="preserve"> líneas horizontales</w:t>
      </w:r>
    </w:p>
    <w:p w:rsidR="00574F86" w:rsidRDefault="00574F86">
      <w:pPr>
        <w:pStyle w:val="Textocomentario"/>
      </w:pP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DB3" w:rsidRDefault="003E4DB3" w:rsidP="00E97625">
      <w:pPr>
        <w:spacing w:after="0" w:line="240" w:lineRule="auto"/>
      </w:pPr>
      <w:r>
        <w:separator/>
      </w:r>
    </w:p>
  </w:endnote>
  <w:endnote w:type="continuationSeparator" w:id="0">
    <w:p w:rsidR="003E4DB3" w:rsidRDefault="003E4DB3" w:rsidP="00E97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DB3" w:rsidRDefault="003E4DB3" w:rsidP="00E97625">
      <w:pPr>
        <w:spacing w:after="0" w:line="240" w:lineRule="auto"/>
      </w:pPr>
      <w:r>
        <w:separator/>
      </w:r>
    </w:p>
  </w:footnote>
  <w:footnote w:type="continuationSeparator" w:id="0">
    <w:p w:rsidR="003E4DB3" w:rsidRDefault="003E4DB3" w:rsidP="00E97625">
      <w:pPr>
        <w:spacing w:after="0" w:line="240" w:lineRule="auto"/>
      </w:pPr>
      <w:r>
        <w:continuationSeparator/>
      </w:r>
    </w:p>
  </w:footnote>
  <w:footnote w:id="1">
    <w:p w:rsidR="0069192A" w:rsidRDefault="0069192A" w:rsidP="00E97625">
      <w:pPr>
        <w:pStyle w:val="Textonotapie"/>
      </w:pPr>
      <w:r>
        <w:rPr>
          <w:rStyle w:val="Refdenotaalpie"/>
        </w:rPr>
        <w:footnoteRef/>
      </w:r>
      <w:r>
        <w:t xml:space="preserve"> Fuente: Centro de Estudios Económicos y Sociales – </w:t>
      </w:r>
      <w:proofErr w:type="spellStart"/>
      <w:r>
        <w:t>Scalabrini</w:t>
      </w:r>
      <w:proofErr w:type="spellEnd"/>
      <w:r>
        <w:t xml:space="preserve"> Ortiz, 2018 en base a datos del INDEC.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2FB0"/>
    <w:multiLevelType w:val="hybridMultilevel"/>
    <w:tmpl w:val="14741C00"/>
    <w:lvl w:ilvl="0" w:tplc="380A0005">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nsid w:val="06807D85"/>
    <w:multiLevelType w:val="hybridMultilevel"/>
    <w:tmpl w:val="79149348"/>
    <w:lvl w:ilvl="0" w:tplc="F2C2B236">
      <w:numFmt w:val="bullet"/>
      <w:lvlText w:val="-"/>
      <w:lvlJc w:val="left"/>
      <w:pPr>
        <w:ind w:left="720" w:hanging="360"/>
      </w:pPr>
      <w:rPr>
        <w:rFonts w:ascii="Times New Roman" w:eastAsiaTheme="minorHAnsi"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nsid w:val="0A2F572B"/>
    <w:multiLevelType w:val="hybridMultilevel"/>
    <w:tmpl w:val="10D40990"/>
    <w:lvl w:ilvl="0" w:tplc="3E1AF35E">
      <w:start w:val="1"/>
      <w:numFmt w:val="lowerRoman"/>
      <w:lvlText w:val="%1."/>
      <w:lvlJc w:val="left"/>
      <w:pPr>
        <w:ind w:left="3839" w:hanging="720"/>
      </w:pPr>
      <w:rPr>
        <w:rFonts w:hint="default"/>
      </w:rPr>
    </w:lvl>
    <w:lvl w:ilvl="1" w:tplc="0C0A0019" w:tentative="1">
      <w:start w:val="1"/>
      <w:numFmt w:val="lowerLetter"/>
      <w:lvlText w:val="%2."/>
      <w:lvlJc w:val="left"/>
      <w:pPr>
        <w:ind w:left="4199" w:hanging="360"/>
      </w:pPr>
    </w:lvl>
    <w:lvl w:ilvl="2" w:tplc="0C0A001B" w:tentative="1">
      <w:start w:val="1"/>
      <w:numFmt w:val="lowerRoman"/>
      <w:lvlText w:val="%3."/>
      <w:lvlJc w:val="right"/>
      <w:pPr>
        <w:ind w:left="4919" w:hanging="180"/>
      </w:pPr>
    </w:lvl>
    <w:lvl w:ilvl="3" w:tplc="0C0A000F" w:tentative="1">
      <w:start w:val="1"/>
      <w:numFmt w:val="decimal"/>
      <w:lvlText w:val="%4."/>
      <w:lvlJc w:val="left"/>
      <w:pPr>
        <w:ind w:left="5639" w:hanging="360"/>
      </w:pPr>
    </w:lvl>
    <w:lvl w:ilvl="4" w:tplc="0C0A0019" w:tentative="1">
      <w:start w:val="1"/>
      <w:numFmt w:val="lowerLetter"/>
      <w:lvlText w:val="%5."/>
      <w:lvlJc w:val="left"/>
      <w:pPr>
        <w:ind w:left="6359" w:hanging="360"/>
      </w:pPr>
    </w:lvl>
    <w:lvl w:ilvl="5" w:tplc="0C0A001B" w:tentative="1">
      <w:start w:val="1"/>
      <w:numFmt w:val="lowerRoman"/>
      <w:lvlText w:val="%6."/>
      <w:lvlJc w:val="right"/>
      <w:pPr>
        <w:ind w:left="7079" w:hanging="180"/>
      </w:pPr>
    </w:lvl>
    <w:lvl w:ilvl="6" w:tplc="0C0A000F" w:tentative="1">
      <w:start w:val="1"/>
      <w:numFmt w:val="decimal"/>
      <w:lvlText w:val="%7."/>
      <w:lvlJc w:val="left"/>
      <w:pPr>
        <w:ind w:left="7799" w:hanging="360"/>
      </w:pPr>
    </w:lvl>
    <w:lvl w:ilvl="7" w:tplc="0C0A0019" w:tentative="1">
      <w:start w:val="1"/>
      <w:numFmt w:val="lowerLetter"/>
      <w:lvlText w:val="%8."/>
      <w:lvlJc w:val="left"/>
      <w:pPr>
        <w:ind w:left="8519" w:hanging="360"/>
      </w:pPr>
    </w:lvl>
    <w:lvl w:ilvl="8" w:tplc="0C0A001B" w:tentative="1">
      <w:start w:val="1"/>
      <w:numFmt w:val="lowerRoman"/>
      <w:lvlText w:val="%9."/>
      <w:lvlJc w:val="right"/>
      <w:pPr>
        <w:ind w:left="9239" w:hanging="180"/>
      </w:pPr>
    </w:lvl>
  </w:abstractNum>
  <w:abstractNum w:abstractNumId="3">
    <w:nsid w:val="30200003"/>
    <w:multiLevelType w:val="hybridMultilevel"/>
    <w:tmpl w:val="C706BE88"/>
    <w:lvl w:ilvl="0" w:tplc="380A0005">
      <w:start w:val="1"/>
      <w:numFmt w:val="bullet"/>
      <w:lvlText w:val=""/>
      <w:lvlJc w:val="left"/>
      <w:pPr>
        <w:ind w:left="1429" w:hanging="360"/>
      </w:pPr>
      <w:rPr>
        <w:rFonts w:ascii="Wingdings" w:hAnsi="Wingdings" w:hint="default"/>
      </w:rPr>
    </w:lvl>
    <w:lvl w:ilvl="1" w:tplc="380A0003" w:tentative="1">
      <w:start w:val="1"/>
      <w:numFmt w:val="bullet"/>
      <w:lvlText w:val="o"/>
      <w:lvlJc w:val="left"/>
      <w:pPr>
        <w:ind w:left="2149" w:hanging="360"/>
      </w:pPr>
      <w:rPr>
        <w:rFonts w:ascii="Courier New" w:hAnsi="Courier New" w:cs="Courier New" w:hint="default"/>
      </w:rPr>
    </w:lvl>
    <w:lvl w:ilvl="2" w:tplc="380A0005" w:tentative="1">
      <w:start w:val="1"/>
      <w:numFmt w:val="bullet"/>
      <w:lvlText w:val=""/>
      <w:lvlJc w:val="left"/>
      <w:pPr>
        <w:ind w:left="2869" w:hanging="360"/>
      </w:pPr>
      <w:rPr>
        <w:rFonts w:ascii="Wingdings" w:hAnsi="Wingdings" w:hint="default"/>
      </w:rPr>
    </w:lvl>
    <w:lvl w:ilvl="3" w:tplc="380A0001" w:tentative="1">
      <w:start w:val="1"/>
      <w:numFmt w:val="bullet"/>
      <w:lvlText w:val=""/>
      <w:lvlJc w:val="left"/>
      <w:pPr>
        <w:ind w:left="3589" w:hanging="360"/>
      </w:pPr>
      <w:rPr>
        <w:rFonts w:ascii="Symbol" w:hAnsi="Symbol" w:hint="default"/>
      </w:rPr>
    </w:lvl>
    <w:lvl w:ilvl="4" w:tplc="380A0003" w:tentative="1">
      <w:start w:val="1"/>
      <w:numFmt w:val="bullet"/>
      <w:lvlText w:val="o"/>
      <w:lvlJc w:val="left"/>
      <w:pPr>
        <w:ind w:left="4309" w:hanging="360"/>
      </w:pPr>
      <w:rPr>
        <w:rFonts w:ascii="Courier New" w:hAnsi="Courier New" w:cs="Courier New" w:hint="default"/>
      </w:rPr>
    </w:lvl>
    <w:lvl w:ilvl="5" w:tplc="380A0005" w:tentative="1">
      <w:start w:val="1"/>
      <w:numFmt w:val="bullet"/>
      <w:lvlText w:val=""/>
      <w:lvlJc w:val="left"/>
      <w:pPr>
        <w:ind w:left="5029" w:hanging="360"/>
      </w:pPr>
      <w:rPr>
        <w:rFonts w:ascii="Wingdings" w:hAnsi="Wingdings" w:hint="default"/>
      </w:rPr>
    </w:lvl>
    <w:lvl w:ilvl="6" w:tplc="380A0001" w:tentative="1">
      <w:start w:val="1"/>
      <w:numFmt w:val="bullet"/>
      <w:lvlText w:val=""/>
      <w:lvlJc w:val="left"/>
      <w:pPr>
        <w:ind w:left="5749" w:hanging="360"/>
      </w:pPr>
      <w:rPr>
        <w:rFonts w:ascii="Symbol" w:hAnsi="Symbol" w:hint="default"/>
      </w:rPr>
    </w:lvl>
    <w:lvl w:ilvl="7" w:tplc="380A0003" w:tentative="1">
      <w:start w:val="1"/>
      <w:numFmt w:val="bullet"/>
      <w:lvlText w:val="o"/>
      <w:lvlJc w:val="left"/>
      <w:pPr>
        <w:ind w:left="6469" w:hanging="360"/>
      </w:pPr>
      <w:rPr>
        <w:rFonts w:ascii="Courier New" w:hAnsi="Courier New" w:cs="Courier New" w:hint="default"/>
      </w:rPr>
    </w:lvl>
    <w:lvl w:ilvl="8" w:tplc="380A0005" w:tentative="1">
      <w:start w:val="1"/>
      <w:numFmt w:val="bullet"/>
      <w:lvlText w:val=""/>
      <w:lvlJc w:val="left"/>
      <w:pPr>
        <w:ind w:left="7189" w:hanging="360"/>
      </w:pPr>
      <w:rPr>
        <w:rFonts w:ascii="Wingdings" w:hAnsi="Wingdings" w:hint="default"/>
      </w:rPr>
    </w:lvl>
  </w:abstractNum>
  <w:abstractNum w:abstractNumId="4">
    <w:nsid w:val="3E5F0ED4"/>
    <w:multiLevelType w:val="hybridMultilevel"/>
    <w:tmpl w:val="208CDBDA"/>
    <w:lvl w:ilvl="0" w:tplc="9C283FC0">
      <w:start w:val="3"/>
      <w:numFmt w:val="bullet"/>
      <w:lvlText w:val=""/>
      <w:lvlJc w:val="left"/>
      <w:pPr>
        <w:ind w:left="720" w:hanging="360"/>
      </w:pPr>
      <w:rPr>
        <w:rFonts w:ascii="Symbol" w:eastAsia="SimSun" w:hAnsi="Symbol"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nsid w:val="471D74A0"/>
    <w:multiLevelType w:val="hybridMultilevel"/>
    <w:tmpl w:val="8FAA02BC"/>
    <w:lvl w:ilvl="0" w:tplc="380A0001">
      <w:start w:val="1"/>
      <w:numFmt w:val="bullet"/>
      <w:lvlText w:val=""/>
      <w:lvlJc w:val="left"/>
      <w:pPr>
        <w:ind w:left="1080" w:hanging="360"/>
      </w:pPr>
      <w:rPr>
        <w:rFonts w:ascii="Symbol" w:hAnsi="Symbol" w:hint="default"/>
      </w:rPr>
    </w:lvl>
    <w:lvl w:ilvl="1" w:tplc="380A0003" w:tentative="1">
      <w:start w:val="1"/>
      <w:numFmt w:val="bullet"/>
      <w:lvlText w:val="o"/>
      <w:lvlJc w:val="left"/>
      <w:pPr>
        <w:ind w:left="1800" w:hanging="360"/>
      </w:pPr>
      <w:rPr>
        <w:rFonts w:ascii="Courier New" w:hAnsi="Courier New" w:cs="Courier New" w:hint="default"/>
      </w:rPr>
    </w:lvl>
    <w:lvl w:ilvl="2" w:tplc="380A0005" w:tentative="1">
      <w:start w:val="1"/>
      <w:numFmt w:val="bullet"/>
      <w:lvlText w:val=""/>
      <w:lvlJc w:val="left"/>
      <w:pPr>
        <w:ind w:left="2520" w:hanging="360"/>
      </w:pPr>
      <w:rPr>
        <w:rFonts w:ascii="Wingdings" w:hAnsi="Wingdings" w:hint="default"/>
      </w:rPr>
    </w:lvl>
    <w:lvl w:ilvl="3" w:tplc="380A0001" w:tentative="1">
      <w:start w:val="1"/>
      <w:numFmt w:val="bullet"/>
      <w:lvlText w:val=""/>
      <w:lvlJc w:val="left"/>
      <w:pPr>
        <w:ind w:left="3240" w:hanging="360"/>
      </w:pPr>
      <w:rPr>
        <w:rFonts w:ascii="Symbol" w:hAnsi="Symbol" w:hint="default"/>
      </w:rPr>
    </w:lvl>
    <w:lvl w:ilvl="4" w:tplc="380A0003" w:tentative="1">
      <w:start w:val="1"/>
      <w:numFmt w:val="bullet"/>
      <w:lvlText w:val="o"/>
      <w:lvlJc w:val="left"/>
      <w:pPr>
        <w:ind w:left="3960" w:hanging="360"/>
      </w:pPr>
      <w:rPr>
        <w:rFonts w:ascii="Courier New" w:hAnsi="Courier New" w:cs="Courier New" w:hint="default"/>
      </w:rPr>
    </w:lvl>
    <w:lvl w:ilvl="5" w:tplc="380A0005" w:tentative="1">
      <w:start w:val="1"/>
      <w:numFmt w:val="bullet"/>
      <w:lvlText w:val=""/>
      <w:lvlJc w:val="left"/>
      <w:pPr>
        <w:ind w:left="4680" w:hanging="360"/>
      </w:pPr>
      <w:rPr>
        <w:rFonts w:ascii="Wingdings" w:hAnsi="Wingdings" w:hint="default"/>
      </w:rPr>
    </w:lvl>
    <w:lvl w:ilvl="6" w:tplc="380A0001" w:tentative="1">
      <w:start w:val="1"/>
      <w:numFmt w:val="bullet"/>
      <w:lvlText w:val=""/>
      <w:lvlJc w:val="left"/>
      <w:pPr>
        <w:ind w:left="5400" w:hanging="360"/>
      </w:pPr>
      <w:rPr>
        <w:rFonts w:ascii="Symbol" w:hAnsi="Symbol" w:hint="default"/>
      </w:rPr>
    </w:lvl>
    <w:lvl w:ilvl="7" w:tplc="380A0003" w:tentative="1">
      <w:start w:val="1"/>
      <w:numFmt w:val="bullet"/>
      <w:lvlText w:val="o"/>
      <w:lvlJc w:val="left"/>
      <w:pPr>
        <w:ind w:left="6120" w:hanging="360"/>
      </w:pPr>
      <w:rPr>
        <w:rFonts w:ascii="Courier New" w:hAnsi="Courier New" w:cs="Courier New" w:hint="default"/>
      </w:rPr>
    </w:lvl>
    <w:lvl w:ilvl="8" w:tplc="380A0005" w:tentative="1">
      <w:start w:val="1"/>
      <w:numFmt w:val="bullet"/>
      <w:lvlText w:val=""/>
      <w:lvlJc w:val="left"/>
      <w:pPr>
        <w:ind w:left="6840" w:hanging="360"/>
      </w:pPr>
      <w:rPr>
        <w:rFonts w:ascii="Wingdings" w:hAnsi="Wingdings" w:hint="default"/>
      </w:rPr>
    </w:lvl>
  </w:abstractNum>
  <w:abstractNum w:abstractNumId="6">
    <w:nsid w:val="694A7881"/>
    <w:multiLevelType w:val="hybridMultilevel"/>
    <w:tmpl w:val="96469BC0"/>
    <w:lvl w:ilvl="0" w:tplc="F2C2B236">
      <w:numFmt w:val="bullet"/>
      <w:lvlText w:val="-"/>
      <w:lvlJc w:val="left"/>
      <w:pPr>
        <w:ind w:left="1080" w:hanging="360"/>
      </w:pPr>
      <w:rPr>
        <w:rFonts w:ascii="Times New Roman" w:eastAsiaTheme="minorHAnsi" w:hAnsi="Times New Roman" w:cs="Times New Roman" w:hint="default"/>
      </w:rPr>
    </w:lvl>
    <w:lvl w:ilvl="1" w:tplc="380A0003" w:tentative="1">
      <w:start w:val="1"/>
      <w:numFmt w:val="bullet"/>
      <w:lvlText w:val="o"/>
      <w:lvlJc w:val="left"/>
      <w:pPr>
        <w:ind w:left="1800" w:hanging="360"/>
      </w:pPr>
      <w:rPr>
        <w:rFonts w:ascii="Courier New" w:hAnsi="Courier New" w:cs="Courier New" w:hint="default"/>
      </w:rPr>
    </w:lvl>
    <w:lvl w:ilvl="2" w:tplc="380A0005" w:tentative="1">
      <w:start w:val="1"/>
      <w:numFmt w:val="bullet"/>
      <w:lvlText w:val=""/>
      <w:lvlJc w:val="left"/>
      <w:pPr>
        <w:ind w:left="2520" w:hanging="360"/>
      </w:pPr>
      <w:rPr>
        <w:rFonts w:ascii="Wingdings" w:hAnsi="Wingdings" w:hint="default"/>
      </w:rPr>
    </w:lvl>
    <w:lvl w:ilvl="3" w:tplc="380A0001" w:tentative="1">
      <w:start w:val="1"/>
      <w:numFmt w:val="bullet"/>
      <w:lvlText w:val=""/>
      <w:lvlJc w:val="left"/>
      <w:pPr>
        <w:ind w:left="3240" w:hanging="360"/>
      </w:pPr>
      <w:rPr>
        <w:rFonts w:ascii="Symbol" w:hAnsi="Symbol" w:hint="default"/>
      </w:rPr>
    </w:lvl>
    <w:lvl w:ilvl="4" w:tplc="380A0003" w:tentative="1">
      <w:start w:val="1"/>
      <w:numFmt w:val="bullet"/>
      <w:lvlText w:val="o"/>
      <w:lvlJc w:val="left"/>
      <w:pPr>
        <w:ind w:left="3960" w:hanging="360"/>
      </w:pPr>
      <w:rPr>
        <w:rFonts w:ascii="Courier New" w:hAnsi="Courier New" w:cs="Courier New" w:hint="default"/>
      </w:rPr>
    </w:lvl>
    <w:lvl w:ilvl="5" w:tplc="380A0005" w:tentative="1">
      <w:start w:val="1"/>
      <w:numFmt w:val="bullet"/>
      <w:lvlText w:val=""/>
      <w:lvlJc w:val="left"/>
      <w:pPr>
        <w:ind w:left="4680" w:hanging="360"/>
      </w:pPr>
      <w:rPr>
        <w:rFonts w:ascii="Wingdings" w:hAnsi="Wingdings" w:hint="default"/>
      </w:rPr>
    </w:lvl>
    <w:lvl w:ilvl="6" w:tplc="380A0001" w:tentative="1">
      <w:start w:val="1"/>
      <w:numFmt w:val="bullet"/>
      <w:lvlText w:val=""/>
      <w:lvlJc w:val="left"/>
      <w:pPr>
        <w:ind w:left="5400" w:hanging="360"/>
      </w:pPr>
      <w:rPr>
        <w:rFonts w:ascii="Symbol" w:hAnsi="Symbol" w:hint="default"/>
      </w:rPr>
    </w:lvl>
    <w:lvl w:ilvl="7" w:tplc="380A0003" w:tentative="1">
      <w:start w:val="1"/>
      <w:numFmt w:val="bullet"/>
      <w:lvlText w:val="o"/>
      <w:lvlJc w:val="left"/>
      <w:pPr>
        <w:ind w:left="6120" w:hanging="360"/>
      </w:pPr>
      <w:rPr>
        <w:rFonts w:ascii="Courier New" w:hAnsi="Courier New" w:cs="Courier New" w:hint="default"/>
      </w:rPr>
    </w:lvl>
    <w:lvl w:ilvl="8" w:tplc="380A0005" w:tentative="1">
      <w:start w:val="1"/>
      <w:numFmt w:val="bullet"/>
      <w:lvlText w:val=""/>
      <w:lvlJc w:val="left"/>
      <w:pPr>
        <w:ind w:left="6840" w:hanging="360"/>
      </w:pPr>
      <w:rPr>
        <w:rFonts w:ascii="Wingdings" w:hAnsi="Wingdings" w:hint="default"/>
      </w:rPr>
    </w:lvl>
  </w:abstractNum>
  <w:abstractNum w:abstractNumId="7">
    <w:nsid w:val="6E3005B1"/>
    <w:multiLevelType w:val="hybridMultilevel"/>
    <w:tmpl w:val="FB6C2A02"/>
    <w:lvl w:ilvl="0" w:tplc="F3F6E8A0">
      <w:start w:val="3"/>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0B228B9"/>
    <w:multiLevelType w:val="hybridMultilevel"/>
    <w:tmpl w:val="1B5027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7B6F2D07"/>
    <w:multiLevelType w:val="hybridMultilevel"/>
    <w:tmpl w:val="2FB48926"/>
    <w:lvl w:ilvl="0" w:tplc="F2C2B236">
      <w:numFmt w:val="bullet"/>
      <w:lvlText w:val="-"/>
      <w:lvlJc w:val="left"/>
      <w:pPr>
        <w:ind w:left="720" w:hanging="360"/>
      </w:pPr>
      <w:rPr>
        <w:rFonts w:ascii="Times New Roman" w:eastAsiaTheme="minorHAnsi"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5"/>
  </w:num>
  <w:num w:numId="4">
    <w:abstractNumId w:val="0"/>
  </w:num>
  <w:num w:numId="5">
    <w:abstractNumId w:val="3"/>
  </w:num>
  <w:num w:numId="6">
    <w:abstractNumId w:val="4"/>
  </w:num>
  <w:num w:numId="7">
    <w:abstractNumId w:val="7"/>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PY" w:vendorID="64" w:dllVersion="131078" w:nlCheck="1" w:checkStyle="1"/>
  <w:activeWritingStyle w:appName="MSWord" w:lang="es-PE" w:vendorID="64" w:dllVersion="131078" w:nlCheck="1" w:checkStyle="1"/>
  <w:activeWritingStyle w:appName="MSWord" w:lang="es-UY" w:vendorID="64" w:dllVersion="131078" w:nlCheck="1" w:checkStyle="1"/>
  <w:activeWritingStyle w:appName="MSWord" w:lang="es-MX" w:vendorID="64" w:dllVersion="131078" w:nlCheck="1" w:checkStyle="1"/>
  <w:activeWritingStyle w:appName="MSWord" w:lang="es-AR" w:vendorID="64" w:dllVersion="131078" w:nlCheck="1" w:checkStyle="1"/>
  <w:proofState w:spelling="clean" w:grammar="clean"/>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A0D"/>
    <w:rsid w:val="000047F7"/>
    <w:rsid w:val="00005A28"/>
    <w:rsid w:val="00015572"/>
    <w:rsid w:val="00020F32"/>
    <w:rsid w:val="00021AAE"/>
    <w:rsid w:val="00025C34"/>
    <w:rsid w:val="000441FA"/>
    <w:rsid w:val="00050068"/>
    <w:rsid w:val="00053A2D"/>
    <w:rsid w:val="00054477"/>
    <w:rsid w:val="00056247"/>
    <w:rsid w:val="00062EA3"/>
    <w:rsid w:val="000722FD"/>
    <w:rsid w:val="000739EE"/>
    <w:rsid w:val="000A7450"/>
    <w:rsid w:val="000D30BE"/>
    <w:rsid w:val="000F5279"/>
    <w:rsid w:val="000F7169"/>
    <w:rsid w:val="000F7800"/>
    <w:rsid w:val="0014667A"/>
    <w:rsid w:val="00146A23"/>
    <w:rsid w:val="001B69C3"/>
    <w:rsid w:val="001C1D03"/>
    <w:rsid w:val="001C3BAD"/>
    <w:rsid w:val="001D2262"/>
    <w:rsid w:val="001E26B7"/>
    <w:rsid w:val="001E2C41"/>
    <w:rsid w:val="002067C6"/>
    <w:rsid w:val="00217516"/>
    <w:rsid w:val="002368B5"/>
    <w:rsid w:val="00250325"/>
    <w:rsid w:val="00250D46"/>
    <w:rsid w:val="00254231"/>
    <w:rsid w:val="002715F7"/>
    <w:rsid w:val="002945C6"/>
    <w:rsid w:val="002B7197"/>
    <w:rsid w:val="002B775D"/>
    <w:rsid w:val="002C168C"/>
    <w:rsid w:val="002C4FB4"/>
    <w:rsid w:val="002C67E0"/>
    <w:rsid w:val="002E5A0D"/>
    <w:rsid w:val="002F14F4"/>
    <w:rsid w:val="002F4F2D"/>
    <w:rsid w:val="00336350"/>
    <w:rsid w:val="00360DE8"/>
    <w:rsid w:val="003A3986"/>
    <w:rsid w:val="003D232A"/>
    <w:rsid w:val="003E3FFE"/>
    <w:rsid w:val="003E4DB3"/>
    <w:rsid w:val="003F1E26"/>
    <w:rsid w:val="003F5E70"/>
    <w:rsid w:val="00404685"/>
    <w:rsid w:val="00416E56"/>
    <w:rsid w:val="00447E68"/>
    <w:rsid w:val="00453360"/>
    <w:rsid w:val="00470157"/>
    <w:rsid w:val="004703A5"/>
    <w:rsid w:val="00496064"/>
    <w:rsid w:val="004B7AB0"/>
    <w:rsid w:val="004C5567"/>
    <w:rsid w:val="004E5182"/>
    <w:rsid w:val="004F5103"/>
    <w:rsid w:val="00507AD1"/>
    <w:rsid w:val="0051056F"/>
    <w:rsid w:val="00512517"/>
    <w:rsid w:val="00550392"/>
    <w:rsid w:val="005561B9"/>
    <w:rsid w:val="00572689"/>
    <w:rsid w:val="00574F86"/>
    <w:rsid w:val="005810A0"/>
    <w:rsid w:val="00581BED"/>
    <w:rsid w:val="00585448"/>
    <w:rsid w:val="00594A66"/>
    <w:rsid w:val="005B438A"/>
    <w:rsid w:val="005B5027"/>
    <w:rsid w:val="005B7FD1"/>
    <w:rsid w:val="005C0A36"/>
    <w:rsid w:val="005E08DE"/>
    <w:rsid w:val="005E1A39"/>
    <w:rsid w:val="005E416A"/>
    <w:rsid w:val="005E520A"/>
    <w:rsid w:val="005F360D"/>
    <w:rsid w:val="005F3A0A"/>
    <w:rsid w:val="005F7E04"/>
    <w:rsid w:val="00610EE9"/>
    <w:rsid w:val="00614C12"/>
    <w:rsid w:val="00621ACE"/>
    <w:rsid w:val="0062595D"/>
    <w:rsid w:val="006268AC"/>
    <w:rsid w:val="0063068D"/>
    <w:rsid w:val="006544A4"/>
    <w:rsid w:val="00656D40"/>
    <w:rsid w:val="00657E56"/>
    <w:rsid w:val="0066552F"/>
    <w:rsid w:val="00686027"/>
    <w:rsid w:val="00690A2E"/>
    <w:rsid w:val="0069192A"/>
    <w:rsid w:val="0069751A"/>
    <w:rsid w:val="006A4979"/>
    <w:rsid w:val="006B2760"/>
    <w:rsid w:val="006C17DD"/>
    <w:rsid w:val="006D05B9"/>
    <w:rsid w:val="00703922"/>
    <w:rsid w:val="00711F98"/>
    <w:rsid w:val="00716905"/>
    <w:rsid w:val="007219A2"/>
    <w:rsid w:val="00760602"/>
    <w:rsid w:val="007A367B"/>
    <w:rsid w:val="007B0E37"/>
    <w:rsid w:val="007C1248"/>
    <w:rsid w:val="007C3AB3"/>
    <w:rsid w:val="007D2E03"/>
    <w:rsid w:val="008015F6"/>
    <w:rsid w:val="00832B89"/>
    <w:rsid w:val="008561CD"/>
    <w:rsid w:val="0087634E"/>
    <w:rsid w:val="008A6CBF"/>
    <w:rsid w:val="008B0C11"/>
    <w:rsid w:val="008B27EE"/>
    <w:rsid w:val="008E2763"/>
    <w:rsid w:val="008F0025"/>
    <w:rsid w:val="008F7A58"/>
    <w:rsid w:val="0090017B"/>
    <w:rsid w:val="00905D17"/>
    <w:rsid w:val="00907442"/>
    <w:rsid w:val="00912FC2"/>
    <w:rsid w:val="0093716F"/>
    <w:rsid w:val="00960B60"/>
    <w:rsid w:val="00964D07"/>
    <w:rsid w:val="009659D1"/>
    <w:rsid w:val="00965B41"/>
    <w:rsid w:val="00965DFF"/>
    <w:rsid w:val="00980F5B"/>
    <w:rsid w:val="009A2422"/>
    <w:rsid w:val="009B5931"/>
    <w:rsid w:val="009C222F"/>
    <w:rsid w:val="009C762B"/>
    <w:rsid w:val="009E1842"/>
    <w:rsid w:val="009E3F1D"/>
    <w:rsid w:val="00A308E7"/>
    <w:rsid w:val="00A35BD8"/>
    <w:rsid w:val="00A45BF5"/>
    <w:rsid w:val="00A46CE9"/>
    <w:rsid w:val="00A54538"/>
    <w:rsid w:val="00A76C25"/>
    <w:rsid w:val="00A914BE"/>
    <w:rsid w:val="00AA03B2"/>
    <w:rsid w:val="00AA2244"/>
    <w:rsid w:val="00AA2D6F"/>
    <w:rsid w:val="00AB4BE8"/>
    <w:rsid w:val="00AC2E6C"/>
    <w:rsid w:val="00AD54D1"/>
    <w:rsid w:val="00AE342E"/>
    <w:rsid w:val="00B12203"/>
    <w:rsid w:val="00B20A9A"/>
    <w:rsid w:val="00B27151"/>
    <w:rsid w:val="00B308E1"/>
    <w:rsid w:val="00B635C5"/>
    <w:rsid w:val="00B65804"/>
    <w:rsid w:val="00B661A1"/>
    <w:rsid w:val="00B92B37"/>
    <w:rsid w:val="00B943CE"/>
    <w:rsid w:val="00BB2CE9"/>
    <w:rsid w:val="00BC06A0"/>
    <w:rsid w:val="00BD3519"/>
    <w:rsid w:val="00C03B16"/>
    <w:rsid w:val="00C61D1D"/>
    <w:rsid w:val="00C86D89"/>
    <w:rsid w:val="00C91739"/>
    <w:rsid w:val="00CD3C17"/>
    <w:rsid w:val="00CD3C69"/>
    <w:rsid w:val="00D15582"/>
    <w:rsid w:val="00D327C8"/>
    <w:rsid w:val="00D66483"/>
    <w:rsid w:val="00D75FFB"/>
    <w:rsid w:val="00D774D3"/>
    <w:rsid w:val="00DA549F"/>
    <w:rsid w:val="00DB0D3F"/>
    <w:rsid w:val="00DE09DC"/>
    <w:rsid w:val="00DF0482"/>
    <w:rsid w:val="00DF32C9"/>
    <w:rsid w:val="00DF57BE"/>
    <w:rsid w:val="00E13786"/>
    <w:rsid w:val="00E33FB7"/>
    <w:rsid w:val="00E344C3"/>
    <w:rsid w:val="00E43187"/>
    <w:rsid w:val="00E50FCD"/>
    <w:rsid w:val="00E5212F"/>
    <w:rsid w:val="00E556A7"/>
    <w:rsid w:val="00E754F2"/>
    <w:rsid w:val="00E93074"/>
    <w:rsid w:val="00E97625"/>
    <w:rsid w:val="00EA4897"/>
    <w:rsid w:val="00EB30B8"/>
    <w:rsid w:val="00ED6B85"/>
    <w:rsid w:val="00EE5975"/>
    <w:rsid w:val="00EF7E0C"/>
    <w:rsid w:val="00F001AA"/>
    <w:rsid w:val="00F12EE0"/>
    <w:rsid w:val="00F1446D"/>
    <w:rsid w:val="00F3184B"/>
    <w:rsid w:val="00F31F9D"/>
    <w:rsid w:val="00F7755A"/>
    <w:rsid w:val="00F97BF2"/>
    <w:rsid w:val="00FB326F"/>
    <w:rsid w:val="00FB370F"/>
    <w:rsid w:val="00FC0F5E"/>
    <w:rsid w:val="00FF2F62"/>
    <w:rsid w:val="00FF622F"/>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D07"/>
  </w:style>
  <w:style w:type="paragraph" w:styleId="Ttulo5">
    <w:name w:val="heading 5"/>
    <w:basedOn w:val="Normal"/>
    <w:next w:val="Normal"/>
    <w:link w:val="Ttulo5Car"/>
    <w:uiPriority w:val="9"/>
    <w:semiHidden/>
    <w:unhideWhenUsed/>
    <w:qFormat/>
    <w:rsid w:val="004C556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5A0D"/>
    <w:pPr>
      <w:ind w:left="720"/>
      <w:contextualSpacing/>
    </w:pPr>
  </w:style>
  <w:style w:type="table" w:styleId="Tablaconcuadrcula">
    <w:name w:val="Table Grid"/>
    <w:basedOn w:val="Tablanormal"/>
    <w:uiPriority w:val="39"/>
    <w:rsid w:val="00E97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uiPriority w:val="99"/>
    <w:semiHidden/>
    <w:unhideWhenUsed/>
    <w:rsid w:val="00E97625"/>
    <w:pPr>
      <w:suppressAutoHyphens/>
      <w:spacing w:after="0" w:line="240" w:lineRule="auto"/>
    </w:pPr>
    <w:rPr>
      <w:rFonts w:ascii="Times New Roman" w:eastAsia="SimSun" w:hAnsi="Times New Roman" w:cs="Mangal"/>
      <w:kern w:val="1"/>
      <w:sz w:val="20"/>
      <w:szCs w:val="18"/>
      <w:lang w:val="es-UY" w:eastAsia="hi-IN" w:bidi="hi-IN"/>
    </w:rPr>
  </w:style>
  <w:style w:type="character" w:customStyle="1" w:styleId="TextocomentarioCar">
    <w:name w:val="Texto comentario Car"/>
    <w:basedOn w:val="Fuentedeprrafopredeter"/>
    <w:link w:val="Textocomentario"/>
    <w:uiPriority w:val="99"/>
    <w:semiHidden/>
    <w:rsid w:val="00E97625"/>
    <w:rPr>
      <w:rFonts w:ascii="Times New Roman" w:eastAsia="SimSun" w:hAnsi="Times New Roman" w:cs="Mangal"/>
      <w:kern w:val="1"/>
      <w:sz w:val="20"/>
      <w:szCs w:val="18"/>
      <w:lang w:val="es-UY" w:eastAsia="hi-IN" w:bidi="hi-IN"/>
    </w:rPr>
  </w:style>
  <w:style w:type="character" w:styleId="Refdecomentario">
    <w:name w:val="annotation reference"/>
    <w:basedOn w:val="Fuentedeprrafopredeter"/>
    <w:uiPriority w:val="99"/>
    <w:semiHidden/>
    <w:unhideWhenUsed/>
    <w:rsid w:val="00E97625"/>
    <w:rPr>
      <w:sz w:val="16"/>
      <w:szCs w:val="16"/>
    </w:rPr>
  </w:style>
  <w:style w:type="paragraph" w:styleId="Textonotapie">
    <w:name w:val="footnote text"/>
    <w:basedOn w:val="Normal"/>
    <w:link w:val="TextonotapieCar"/>
    <w:uiPriority w:val="99"/>
    <w:semiHidden/>
    <w:unhideWhenUsed/>
    <w:rsid w:val="00E97625"/>
    <w:pPr>
      <w:suppressAutoHyphens/>
      <w:spacing w:after="0" w:line="240" w:lineRule="auto"/>
    </w:pPr>
    <w:rPr>
      <w:rFonts w:ascii="Times New Roman" w:eastAsia="SimSun" w:hAnsi="Times New Roman" w:cs="Mangal"/>
      <w:kern w:val="1"/>
      <w:sz w:val="20"/>
      <w:szCs w:val="18"/>
      <w:lang w:val="es-UY" w:eastAsia="hi-IN" w:bidi="hi-IN"/>
    </w:rPr>
  </w:style>
  <w:style w:type="character" w:customStyle="1" w:styleId="TextonotapieCar">
    <w:name w:val="Texto nota pie Car"/>
    <w:basedOn w:val="Fuentedeprrafopredeter"/>
    <w:link w:val="Textonotapie"/>
    <w:uiPriority w:val="99"/>
    <w:semiHidden/>
    <w:rsid w:val="00E97625"/>
    <w:rPr>
      <w:rFonts w:ascii="Times New Roman" w:eastAsia="SimSun" w:hAnsi="Times New Roman" w:cs="Mangal"/>
      <w:kern w:val="1"/>
      <w:sz w:val="20"/>
      <w:szCs w:val="18"/>
      <w:lang w:val="es-UY" w:eastAsia="hi-IN" w:bidi="hi-IN"/>
    </w:rPr>
  </w:style>
  <w:style w:type="character" w:styleId="Refdenotaalpie">
    <w:name w:val="footnote reference"/>
    <w:basedOn w:val="Fuentedeprrafopredeter"/>
    <w:uiPriority w:val="99"/>
    <w:semiHidden/>
    <w:unhideWhenUsed/>
    <w:rsid w:val="00E97625"/>
    <w:rPr>
      <w:vertAlign w:val="superscript"/>
    </w:rPr>
  </w:style>
  <w:style w:type="paragraph" w:styleId="Textodeglobo">
    <w:name w:val="Balloon Text"/>
    <w:basedOn w:val="Normal"/>
    <w:link w:val="TextodegloboCar"/>
    <w:uiPriority w:val="99"/>
    <w:semiHidden/>
    <w:unhideWhenUsed/>
    <w:rsid w:val="00B635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635C5"/>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66552F"/>
    <w:pPr>
      <w:suppressAutoHyphens w:val="0"/>
      <w:spacing w:after="160"/>
    </w:pPr>
    <w:rPr>
      <w:rFonts w:asciiTheme="minorHAnsi" w:eastAsiaTheme="minorHAnsi" w:hAnsiTheme="minorHAnsi" w:cstheme="minorBidi"/>
      <w:b/>
      <w:bCs/>
      <w:kern w:val="0"/>
      <w:szCs w:val="20"/>
      <w:lang w:val="es-ES" w:eastAsia="en-US" w:bidi="ar-SA"/>
    </w:rPr>
  </w:style>
  <w:style w:type="character" w:customStyle="1" w:styleId="AsuntodelcomentarioCar">
    <w:name w:val="Asunto del comentario Car"/>
    <w:basedOn w:val="TextocomentarioCar"/>
    <w:link w:val="Asuntodelcomentario"/>
    <w:uiPriority w:val="99"/>
    <w:semiHidden/>
    <w:rsid w:val="0066552F"/>
    <w:rPr>
      <w:rFonts w:ascii="Times New Roman" w:eastAsia="SimSun" w:hAnsi="Times New Roman" w:cs="Mangal"/>
      <w:b/>
      <w:bCs/>
      <w:kern w:val="1"/>
      <w:sz w:val="20"/>
      <w:szCs w:val="20"/>
      <w:lang w:val="es-UY" w:eastAsia="hi-IN" w:bidi="hi-IN"/>
    </w:rPr>
  </w:style>
  <w:style w:type="paragraph" w:styleId="HTMLconformatoprevio">
    <w:name w:val="HTML Preformatted"/>
    <w:basedOn w:val="Normal"/>
    <w:link w:val="HTMLconformatoprevioCar"/>
    <w:uiPriority w:val="99"/>
    <w:semiHidden/>
    <w:unhideWhenUsed/>
    <w:rsid w:val="00D15582"/>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D15582"/>
    <w:rPr>
      <w:rFonts w:ascii="Consolas" w:hAnsi="Consolas"/>
      <w:sz w:val="20"/>
      <w:szCs w:val="20"/>
    </w:rPr>
  </w:style>
  <w:style w:type="character" w:styleId="Hipervnculo">
    <w:name w:val="Hyperlink"/>
    <w:basedOn w:val="Fuentedeprrafopredeter"/>
    <w:uiPriority w:val="99"/>
    <w:unhideWhenUsed/>
    <w:rsid w:val="005561B9"/>
    <w:rPr>
      <w:color w:val="0563C1" w:themeColor="hyperlink"/>
      <w:u w:val="single"/>
    </w:rPr>
  </w:style>
  <w:style w:type="character" w:customStyle="1" w:styleId="Ttulo5Car">
    <w:name w:val="Título 5 Car"/>
    <w:basedOn w:val="Fuentedeprrafopredeter"/>
    <w:link w:val="Ttulo5"/>
    <w:uiPriority w:val="9"/>
    <w:semiHidden/>
    <w:rsid w:val="004C5567"/>
    <w:rPr>
      <w:rFonts w:asciiTheme="majorHAnsi" w:eastAsiaTheme="majorEastAsia" w:hAnsiTheme="majorHAnsi" w:cstheme="majorBidi"/>
      <w:color w:val="2E74B5"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D07"/>
  </w:style>
  <w:style w:type="paragraph" w:styleId="Ttulo5">
    <w:name w:val="heading 5"/>
    <w:basedOn w:val="Normal"/>
    <w:next w:val="Normal"/>
    <w:link w:val="Ttulo5Car"/>
    <w:uiPriority w:val="9"/>
    <w:semiHidden/>
    <w:unhideWhenUsed/>
    <w:qFormat/>
    <w:rsid w:val="004C556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5A0D"/>
    <w:pPr>
      <w:ind w:left="720"/>
      <w:contextualSpacing/>
    </w:pPr>
  </w:style>
  <w:style w:type="table" w:styleId="Tablaconcuadrcula">
    <w:name w:val="Table Grid"/>
    <w:basedOn w:val="Tablanormal"/>
    <w:uiPriority w:val="39"/>
    <w:rsid w:val="00E97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uiPriority w:val="99"/>
    <w:semiHidden/>
    <w:unhideWhenUsed/>
    <w:rsid w:val="00E97625"/>
    <w:pPr>
      <w:suppressAutoHyphens/>
      <w:spacing w:after="0" w:line="240" w:lineRule="auto"/>
    </w:pPr>
    <w:rPr>
      <w:rFonts w:ascii="Times New Roman" w:eastAsia="SimSun" w:hAnsi="Times New Roman" w:cs="Mangal"/>
      <w:kern w:val="1"/>
      <w:sz w:val="20"/>
      <w:szCs w:val="18"/>
      <w:lang w:val="es-UY" w:eastAsia="hi-IN" w:bidi="hi-IN"/>
    </w:rPr>
  </w:style>
  <w:style w:type="character" w:customStyle="1" w:styleId="TextocomentarioCar">
    <w:name w:val="Texto comentario Car"/>
    <w:basedOn w:val="Fuentedeprrafopredeter"/>
    <w:link w:val="Textocomentario"/>
    <w:uiPriority w:val="99"/>
    <w:semiHidden/>
    <w:rsid w:val="00E97625"/>
    <w:rPr>
      <w:rFonts w:ascii="Times New Roman" w:eastAsia="SimSun" w:hAnsi="Times New Roman" w:cs="Mangal"/>
      <w:kern w:val="1"/>
      <w:sz w:val="20"/>
      <w:szCs w:val="18"/>
      <w:lang w:val="es-UY" w:eastAsia="hi-IN" w:bidi="hi-IN"/>
    </w:rPr>
  </w:style>
  <w:style w:type="character" w:styleId="Refdecomentario">
    <w:name w:val="annotation reference"/>
    <w:basedOn w:val="Fuentedeprrafopredeter"/>
    <w:uiPriority w:val="99"/>
    <w:semiHidden/>
    <w:unhideWhenUsed/>
    <w:rsid w:val="00E97625"/>
    <w:rPr>
      <w:sz w:val="16"/>
      <w:szCs w:val="16"/>
    </w:rPr>
  </w:style>
  <w:style w:type="paragraph" w:styleId="Textonotapie">
    <w:name w:val="footnote text"/>
    <w:basedOn w:val="Normal"/>
    <w:link w:val="TextonotapieCar"/>
    <w:uiPriority w:val="99"/>
    <w:semiHidden/>
    <w:unhideWhenUsed/>
    <w:rsid w:val="00E97625"/>
    <w:pPr>
      <w:suppressAutoHyphens/>
      <w:spacing w:after="0" w:line="240" w:lineRule="auto"/>
    </w:pPr>
    <w:rPr>
      <w:rFonts w:ascii="Times New Roman" w:eastAsia="SimSun" w:hAnsi="Times New Roman" w:cs="Mangal"/>
      <w:kern w:val="1"/>
      <w:sz w:val="20"/>
      <w:szCs w:val="18"/>
      <w:lang w:val="es-UY" w:eastAsia="hi-IN" w:bidi="hi-IN"/>
    </w:rPr>
  </w:style>
  <w:style w:type="character" w:customStyle="1" w:styleId="TextonotapieCar">
    <w:name w:val="Texto nota pie Car"/>
    <w:basedOn w:val="Fuentedeprrafopredeter"/>
    <w:link w:val="Textonotapie"/>
    <w:uiPriority w:val="99"/>
    <w:semiHidden/>
    <w:rsid w:val="00E97625"/>
    <w:rPr>
      <w:rFonts w:ascii="Times New Roman" w:eastAsia="SimSun" w:hAnsi="Times New Roman" w:cs="Mangal"/>
      <w:kern w:val="1"/>
      <w:sz w:val="20"/>
      <w:szCs w:val="18"/>
      <w:lang w:val="es-UY" w:eastAsia="hi-IN" w:bidi="hi-IN"/>
    </w:rPr>
  </w:style>
  <w:style w:type="character" w:styleId="Refdenotaalpie">
    <w:name w:val="footnote reference"/>
    <w:basedOn w:val="Fuentedeprrafopredeter"/>
    <w:uiPriority w:val="99"/>
    <w:semiHidden/>
    <w:unhideWhenUsed/>
    <w:rsid w:val="00E97625"/>
    <w:rPr>
      <w:vertAlign w:val="superscript"/>
    </w:rPr>
  </w:style>
  <w:style w:type="paragraph" w:styleId="Textodeglobo">
    <w:name w:val="Balloon Text"/>
    <w:basedOn w:val="Normal"/>
    <w:link w:val="TextodegloboCar"/>
    <w:uiPriority w:val="99"/>
    <w:semiHidden/>
    <w:unhideWhenUsed/>
    <w:rsid w:val="00B635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635C5"/>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66552F"/>
    <w:pPr>
      <w:suppressAutoHyphens w:val="0"/>
      <w:spacing w:after="160"/>
    </w:pPr>
    <w:rPr>
      <w:rFonts w:asciiTheme="minorHAnsi" w:eastAsiaTheme="minorHAnsi" w:hAnsiTheme="minorHAnsi" w:cstheme="minorBidi"/>
      <w:b/>
      <w:bCs/>
      <w:kern w:val="0"/>
      <w:szCs w:val="20"/>
      <w:lang w:val="es-ES" w:eastAsia="en-US" w:bidi="ar-SA"/>
    </w:rPr>
  </w:style>
  <w:style w:type="character" w:customStyle="1" w:styleId="AsuntodelcomentarioCar">
    <w:name w:val="Asunto del comentario Car"/>
    <w:basedOn w:val="TextocomentarioCar"/>
    <w:link w:val="Asuntodelcomentario"/>
    <w:uiPriority w:val="99"/>
    <w:semiHidden/>
    <w:rsid w:val="0066552F"/>
    <w:rPr>
      <w:rFonts w:ascii="Times New Roman" w:eastAsia="SimSun" w:hAnsi="Times New Roman" w:cs="Mangal"/>
      <w:b/>
      <w:bCs/>
      <w:kern w:val="1"/>
      <w:sz w:val="20"/>
      <w:szCs w:val="20"/>
      <w:lang w:val="es-UY" w:eastAsia="hi-IN" w:bidi="hi-IN"/>
    </w:rPr>
  </w:style>
  <w:style w:type="paragraph" w:styleId="HTMLconformatoprevio">
    <w:name w:val="HTML Preformatted"/>
    <w:basedOn w:val="Normal"/>
    <w:link w:val="HTMLconformatoprevioCar"/>
    <w:uiPriority w:val="99"/>
    <w:semiHidden/>
    <w:unhideWhenUsed/>
    <w:rsid w:val="00D15582"/>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D15582"/>
    <w:rPr>
      <w:rFonts w:ascii="Consolas" w:hAnsi="Consolas"/>
      <w:sz w:val="20"/>
      <w:szCs w:val="20"/>
    </w:rPr>
  </w:style>
  <w:style w:type="character" w:styleId="Hipervnculo">
    <w:name w:val="Hyperlink"/>
    <w:basedOn w:val="Fuentedeprrafopredeter"/>
    <w:uiPriority w:val="99"/>
    <w:unhideWhenUsed/>
    <w:rsid w:val="005561B9"/>
    <w:rPr>
      <w:color w:val="0563C1" w:themeColor="hyperlink"/>
      <w:u w:val="single"/>
    </w:rPr>
  </w:style>
  <w:style w:type="character" w:customStyle="1" w:styleId="Ttulo5Car">
    <w:name w:val="Título 5 Car"/>
    <w:basedOn w:val="Fuentedeprrafopredeter"/>
    <w:link w:val="Ttulo5"/>
    <w:uiPriority w:val="9"/>
    <w:semiHidden/>
    <w:rsid w:val="004C556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18064">
      <w:bodyDiv w:val="1"/>
      <w:marLeft w:val="0"/>
      <w:marRight w:val="0"/>
      <w:marTop w:val="0"/>
      <w:marBottom w:val="0"/>
      <w:divBdr>
        <w:top w:val="none" w:sz="0" w:space="0" w:color="auto"/>
        <w:left w:val="none" w:sz="0" w:space="0" w:color="auto"/>
        <w:bottom w:val="none" w:sz="0" w:space="0" w:color="auto"/>
        <w:right w:val="none" w:sz="0" w:space="0" w:color="auto"/>
      </w:divBdr>
    </w:div>
    <w:div w:id="251355786">
      <w:bodyDiv w:val="1"/>
      <w:marLeft w:val="0"/>
      <w:marRight w:val="0"/>
      <w:marTop w:val="0"/>
      <w:marBottom w:val="0"/>
      <w:divBdr>
        <w:top w:val="none" w:sz="0" w:space="0" w:color="auto"/>
        <w:left w:val="none" w:sz="0" w:space="0" w:color="auto"/>
        <w:bottom w:val="none" w:sz="0" w:space="0" w:color="auto"/>
        <w:right w:val="none" w:sz="0" w:space="0" w:color="auto"/>
      </w:divBdr>
      <w:divsChild>
        <w:div w:id="1950429276">
          <w:marLeft w:val="0"/>
          <w:marRight w:val="0"/>
          <w:marTop w:val="0"/>
          <w:marBottom w:val="0"/>
          <w:divBdr>
            <w:top w:val="none" w:sz="0" w:space="0" w:color="auto"/>
            <w:left w:val="none" w:sz="0" w:space="0" w:color="auto"/>
            <w:bottom w:val="none" w:sz="0" w:space="0" w:color="auto"/>
            <w:right w:val="none" w:sz="0" w:space="0" w:color="auto"/>
          </w:divBdr>
        </w:div>
        <w:div w:id="1644113326">
          <w:marLeft w:val="0"/>
          <w:marRight w:val="0"/>
          <w:marTop w:val="0"/>
          <w:marBottom w:val="0"/>
          <w:divBdr>
            <w:top w:val="none" w:sz="0" w:space="0" w:color="auto"/>
            <w:left w:val="none" w:sz="0" w:space="0" w:color="auto"/>
            <w:bottom w:val="none" w:sz="0" w:space="0" w:color="auto"/>
            <w:right w:val="none" w:sz="0" w:space="0" w:color="auto"/>
          </w:divBdr>
        </w:div>
        <w:div w:id="329456326">
          <w:marLeft w:val="0"/>
          <w:marRight w:val="0"/>
          <w:marTop w:val="0"/>
          <w:marBottom w:val="0"/>
          <w:divBdr>
            <w:top w:val="none" w:sz="0" w:space="0" w:color="auto"/>
            <w:left w:val="none" w:sz="0" w:space="0" w:color="auto"/>
            <w:bottom w:val="none" w:sz="0" w:space="0" w:color="auto"/>
            <w:right w:val="none" w:sz="0" w:space="0" w:color="auto"/>
          </w:divBdr>
        </w:div>
        <w:div w:id="925259909">
          <w:marLeft w:val="0"/>
          <w:marRight w:val="0"/>
          <w:marTop w:val="0"/>
          <w:marBottom w:val="0"/>
          <w:divBdr>
            <w:top w:val="none" w:sz="0" w:space="0" w:color="auto"/>
            <w:left w:val="none" w:sz="0" w:space="0" w:color="auto"/>
            <w:bottom w:val="none" w:sz="0" w:space="0" w:color="auto"/>
            <w:right w:val="none" w:sz="0" w:space="0" w:color="auto"/>
          </w:divBdr>
        </w:div>
      </w:divsChild>
    </w:div>
    <w:div w:id="259604253">
      <w:bodyDiv w:val="1"/>
      <w:marLeft w:val="0"/>
      <w:marRight w:val="0"/>
      <w:marTop w:val="0"/>
      <w:marBottom w:val="0"/>
      <w:divBdr>
        <w:top w:val="none" w:sz="0" w:space="0" w:color="auto"/>
        <w:left w:val="none" w:sz="0" w:space="0" w:color="auto"/>
        <w:bottom w:val="none" w:sz="0" w:space="0" w:color="auto"/>
        <w:right w:val="none" w:sz="0" w:space="0" w:color="auto"/>
      </w:divBdr>
    </w:div>
    <w:div w:id="286087205">
      <w:bodyDiv w:val="1"/>
      <w:marLeft w:val="0"/>
      <w:marRight w:val="0"/>
      <w:marTop w:val="0"/>
      <w:marBottom w:val="0"/>
      <w:divBdr>
        <w:top w:val="none" w:sz="0" w:space="0" w:color="auto"/>
        <w:left w:val="none" w:sz="0" w:space="0" w:color="auto"/>
        <w:bottom w:val="none" w:sz="0" w:space="0" w:color="auto"/>
        <w:right w:val="none" w:sz="0" w:space="0" w:color="auto"/>
      </w:divBdr>
    </w:div>
    <w:div w:id="303124570">
      <w:bodyDiv w:val="1"/>
      <w:marLeft w:val="0"/>
      <w:marRight w:val="0"/>
      <w:marTop w:val="0"/>
      <w:marBottom w:val="0"/>
      <w:divBdr>
        <w:top w:val="none" w:sz="0" w:space="0" w:color="auto"/>
        <w:left w:val="none" w:sz="0" w:space="0" w:color="auto"/>
        <w:bottom w:val="none" w:sz="0" w:space="0" w:color="auto"/>
        <w:right w:val="none" w:sz="0" w:space="0" w:color="auto"/>
      </w:divBdr>
    </w:div>
    <w:div w:id="433399890">
      <w:bodyDiv w:val="1"/>
      <w:marLeft w:val="0"/>
      <w:marRight w:val="0"/>
      <w:marTop w:val="0"/>
      <w:marBottom w:val="0"/>
      <w:divBdr>
        <w:top w:val="none" w:sz="0" w:space="0" w:color="auto"/>
        <w:left w:val="none" w:sz="0" w:space="0" w:color="auto"/>
        <w:bottom w:val="none" w:sz="0" w:space="0" w:color="auto"/>
        <w:right w:val="none" w:sz="0" w:space="0" w:color="auto"/>
      </w:divBdr>
    </w:div>
    <w:div w:id="509105489">
      <w:bodyDiv w:val="1"/>
      <w:marLeft w:val="0"/>
      <w:marRight w:val="0"/>
      <w:marTop w:val="0"/>
      <w:marBottom w:val="0"/>
      <w:divBdr>
        <w:top w:val="none" w:sz="0" w:space="0" w:color="auto"/>
        <w:left w:val="none" w:sz="0" w:space="0" w:color="auto"/>
        <w:bottom w:val="none" w:sz="0" w:space="0" w:color="auto"/>
        <w:right w:val="none" w:sz="0" w:space="0" w:color="auto"/>
      </w:divBdr>
    </w:div>
    <w:div w:id="590704853">
      <w:bodyDiv w:val="1"/>
      <w:marLeft w:val="0"/>
      <w:marRight w:val="0"/>
      <w:marTop w:val="0"/>
      <w:marBottom w:val="0"/>
      <w:divBdr>
        <w:top w:val="none" w:sz="0" w:space="0" w:color="auto"/>
        <w:left w:val="none" w:sz="0" w:space="0" w:color="auto"/>
        <w:bottom w:val="none" w:sz="0" w:space="0" w:color="auto"/>
        <w:right w:val="none" w:sz="0" w:space="0" w:color="auto"/>
      </w:divBdr>
    </w:div>
    <w:div w:id="755441801">
      <w:bodyDiv w:val="1"/>
      <w:marLeft w:val="0"/>
      <w:marRight w:val="0"/>
      <w:marTop w:val="0"/>
      <w:marBottom w:val="0"/>
      <w:divBdr>
        <w:top w:val="none" w:sz="0" w:space="0" w:color="auto"/>
        <w:left w:val="none" w:sz="0" w:space="0" w:color="auto"/>
        <w:bottom w:val="none" w:sz="0" w:space="0" w:color="auto"/>
        <w:right w:val="none" w:sz="0" w:space="0" w:color="auto"/>
      </w:divBdr>
    </w:div>
    <w:div w:id="898247156">
      <w:bodyDiv w:val="1"/>
      <w:marLeft w:val="0"/>
      <w:marRight w:val="0"/>
      <w:marTop w:val="0"/>
      <w:marBottom w:val="0"/>
      <w:divBdr>
        <w:top w:val="none" w:sz="0" w:space="0" w:color="auto"/>
        <w:left w:val="none" w:sz="0" w:space="0" w:color="auto"/>
        <w:bottom w:val="none" w:sz="0" w:space="0" w:color="auto"/>
        <w:right w:val="none" w:sz="0" w:space="0" w:color="auto"/>
      </w:divBdr>
      <w:divsChild>
        <w:div w:id="797991774">
          <w:marLeft w:val="0"/>
          <w:marRight w:val="0"/>
          <w:marTop w:val="30"/>
          <w:marBottom w:val="0"/>
          <w:divBdr>
            <w:top w:val="none" w:sz="0" w:space="0" w:color="auto"/>
            <w:left w:val="none" w:sz="0" w:space="0" w:color="auto"/>
            <w:bottom w:val="none" w:sz="0" w:space="0" w:color="auto"/>
            <w:right w:val="none" w:sz="0" w:space="0" w:color="auto"/>
          </w:divBdr>
          <w:divsChild>
            <w:div w:id="1379159991">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963579264">
      <w:bodyDiv w:val="1"/>
      <w:marLeft w:val="0"/>
      <w:marRight w:val="0"/>
      <w:marTop w:val="0"/>
      <w:marBottom w:val="0"/>
      <w:divBdr>
        <w:top w:val="none" w:sz="0" w:space="0" w:color="auto"/>
        <w:left w:val="none" w:sz="0" w:space="0" w:color="auto"/>
        <w:bottom w:val="none" w:sz="0" w:space="0" w:color="auto"/>
        <w:right w:val="none" w:sz="0" w:space="0" w:color="auto"/>
      </w:divBdr>
    </w:div>
    <w:div w:id="1091046366">
      <w:bodyDiv w:val="1"/>
      <w:marLeft w:val="0"/>
      <w:marRight w:val="0"/>
      <w:marTop w:val="0"/>
      <w:marBottom w:val="0"/>
      <w:divBdr>
        <w:top w:val="none" w:sz="0" w:space="0" w:color="auto"/>
        <w:left w:val="none" w:sz="0" w:space="0" w:color="auto"/>
        <w:bottom w:val="none" w:sz="0" w:space="0" w:color="auto"/>
        <w:right w:val="none" w:sz="0" w:space="0" w:color="auto"/>
      </w:divBdr>
    </w:div>
    <w:div w:id="1110659678">
      <w:bodyDiv w:val="1"/>
      <w:marLeft w:val="0"/>
      <w:marRight w:val="0"/>
      <w:marTop w:val="0"/>
      <w:marBottom w:val="0"/>
      <w:divBdr>
        <w:top w:val="none" w:sz="0" w:space="0" w:color="auto"/>
        <w:left w:val="none" w:sz="0" w:space="0" w:color="auto"/>
        <w:bottom w:val="none" w:sz="0" w:space="0" w:color="auto"/>
        <w:right w:val="none" w:sz="0" w:space="0" w:color="auto"/>
      </w:divBdr>
    </w:div>
    <w:div w:id="1193961933">
      <w:bodyDiv w:val="1"/>
      <w:marLeft w:val="0"/>
      <w:marRight w:val="0"/>
      <w:marTop w:val="0"/>
      <w:marBottom w:val="0"/>
      <w:divBdr>
        <w:top w:val="none" w:sz="0" w:space="0" w:color="auto"/>
        <w:left w:val="none" w:sz="0" w:space="0" w:color="auto"/>
        <w:bottom w:val="none" w:sz="0" w:space="0" w:color="auto"/>
        <w:right w:val="none" w:sz="0" w:space="0" w:color="auto"/>
      </w:divBdr>
    </w:div>
    <w:div w:id="1253516604">
      <w:bodyDiv w:val="1"/>
      <w:marLeft w:val="0"/>
      <w:marRight w:val="0"/>
      <w:marTop w:val="0"/>
      <w:marBottom w:val="0"/>
      <w:divBdr>
        <w:top w:val="none" w:sz="0" w:space="0" w:color="auto"/>
        <w:left w:val="none" w:sz="0" w:space="0" w:color="auto"/>
        <w:bottom w:val="none" w:sz="0" w:space="0" w:color="auto"/>
        <w:right w:val="none" w:sz="0" w:space="0" w:color="auto"/>
      </w:divBdr>
    </w:div>
    <w:div w:id="1333793933">
      <w:bodyDiv w:val="1"/>
      <w:marLeft w:val="0"/>
      <w:marRight w:val="0"/>
      <w:marTop w:val="0"/>
      <w:marBottom w:val="0"/>
      <w:divBdr>
        <w:top w:val="none" w:sz="0" w:space="0" w:color="auto"/>
        <w:left w:val="none" w:sz="0" w:space="0" w:color="auto"/>
        <w:bottom w:val="none" w:sz="0" w:space="0" w:color="auto"/>
        <w:right w:val="none" w:sz="0" w:space="0" w:color="auto"/>
      </w:divBdr>
    </w:div>
    <w:div w:id="1494180285">
      <w:bodyDiv w:val="1"/>
      <w:marLeft w:val="0"/>
      <w:marRight w:val="0"/>
      <w:marTop w:val="0"/>
      <w:marBottom w:val="0"/>
      <w:divBdr>
        <w:top w:val="none" w:sz="0" w:space="0" w:color="auto"/>
        <w:left w:val="none" w:sz="0" w:space="0" w:color="auto"/>
        <w:bottom w:val="none" w:sz="0" w:space="0" w:color="auto"/>
        <w:right w:val="none" w:sz="0" w:space="0" w:color="auto"/>
      </w:divBdr>
    </w:div>
    <w:div w:id="1730689297">
      <w:bodyDiv w:val="1"/>
      <w:marLeft w:val="0"/>
      <w:marRight w:val="0"/>
      <w:marTop w:val="0"/>
      <w:marBottom w:val="0"/>
      <w:divBdr>
        <w:top w:val="none" w:sz="0" w:space="0" w:color="auto"/>
        <w:left w:val="none" w:sz="0" w:space="0" w:color="auto"/>
        <w:bottom w:val="none" w:sz="0" w:space="0" w:color="auto"/>
        <w:right w:val="none" w:sz="0" w:space="0" w:color="auto"/>
      </w:divBdr>
    </w:div>
    <w:div w:id="1733624145">
      <w:bodyDiv w:val="1"/>
      <w:marLeft w:val="0"/>
      <w:marRight w:val="0"/>
      <w:marTop w:val="0"/>
      <w:marBottom w:val="0"/>
      <w:divBdr>
        <w:top w:val="none" w:sz="0" w:space="0" w:color="auto"/>
        <w:left w:val="none" w:sz="0" w:space="0" w:color="auto"/>
        <w:bottom w:val="none" w:sz="0" w:space="0" w:color="auto"/>
        <w:right w:val="none" w:sz="0" w:space="0" w:color="auto"/>
      </w:divBdr>
    </w:div>
    <w:div w:id="1821654516">
      <w:bodyDiv w:val="1"/>
      <w:marLeft w:val="0"/>
      <w:marRight w:val="0"/>
      <w:marTop w:val="0"/>
      <w:marBottom w:val="0"/>
      <w:divBdr>
        <w:top w:val="none" w:sz="0" w:space="0" w:color="auto"/>
        <w:left w:val="none" w:sz="0" w:space="0" w:color="auto"/>
        <w:bottom w:val="none" w:sz="0" w:space="0" w:color="auto"/>
        <w:right w:val="none" w:sz="0" w:space="0" w:color="auto"/>
      </w:divBdr>
    </w:div>
    <w:div w:id="1845240663">
      <w:bodyDiv w:val="1"/>
      <w:marLeft w:val="0"/>
      <w:marRight w:val="0"/>
      <w:marTop w:val="0"/>
      <w:marBottom w:val="0"/>
      <w:divBdr>
        <w:top w:val="none" w:sz="0" w:space="0" w:color="auto"/>
        <w:left w:val="none" w:sz="0" w:space="0" w:color="auto"/>
        <w:bottom w:val="none" w:sz="0" w:space="0" w:color="auto"/>
        <w:right w:val="none" w:sz="0" w:space="0" w:color="auto"/>
      </w:divBdr>
    </w:div>
    <w:div w:id="2014264342">
      <w:bodyDiv w:val="1"/>
      <w:marLeft w:val="0"/>
      <w:marRight w:val="0"/>
      <w:marTop w:val="0"/>
      <w:marBottom w:val="0"/>
      <w:divBdr>
        <w:top w:val="none" w:sz="0" w:space="0" w:color="auto"/>
        <w:left w:val="none" w:sz="0" w:space="0" w:color="auto"/>
        <w:bottom w:val="none" w:sz="0" w:space="0" w:color="auto"/>
        <w:right w:val="none" w:sz="0" w:space="0" w:color="auto"/>
      </w:divBdr>
    </w:div>
    <w:div w:id="2064405943">
      <w:bodyDiv w:val="1"/>
      <w:marLeft w:val="0"/>
      <w:marRight w:val="0"/>
      <w:marTop w:val="0"/>
      <w:marBottom w:val="0"/>
      <w:divBdr>
        <w:top w:val="none" w:sz="0" w:space="0" w:color="auto"/>
        <w:left w:val="none" w:sz="0" w:space="0" w:color="auto"/>
        <w:bottom w:val="none" w:sz="0" w:space="0" w:color="auto"/>
        <w:right w:val="none" w:sz="0" w:space="0" w:color="auto"/>
      </w:divBdr>
    </w:div>
    <w:div w:id="207442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isyp.org.ar/media/uploads/movsoc.do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www.revista.saap.org.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89FA1-226F-42B4-9FCC-8F0D684C0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21</Pages>
  <Words>6033</Words>
  <Characters>33187</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Claudia</cp:lastModifiedBy>
  <cp:revision>8</cp:revision>
  <cp:lastPrinted>2018-07-17T15:22:00Z</cp:lastPrinted>
  <dcterms:created xsi:type="dcterms:W3CDTF">2018-10-30T20:29:00Z</dcterms:created>
  <dcterms:modified xsi:type="dcterms:W3CDTF">2018-10-31T00:47:00Z</dcterms:modified>
</cp:coreProperties>
</file>