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C25224" w:rsidRDefault="00C25224" w:rsidP="00C25224">
      <w:pPr>
        <w:pStyle w:val="western"/>
      </w:pPr>
      <w:r>
        <w:t>SECCIONES ESPECIALES: ENSAYO</w:t>
      </w:r>
    </w:p>
    <w:p w:rsidR="00C25224" w:rsidRDefault="00C25224" w:rsidP="00C25224">
      <w:pPr>
        <w:pStyle w:val="western"/>
        <w:spacing w:after="0" w:line="240" w:lineRule="auto"/>
      </w:pPr>
    </w:p>
    <w:p w:rsidR="00C25224" w:rsidRDefault="00C25224" w:rsidP="00C25224">
      <w:pPr>
        <w:pStyle w:val="western"/>
        <w:spacing w:after="0" w:line="240" w:lineRule="auto"/>
      </w:pPr>
      <w:r>
        <w:t>I. TÍTULO: AQUI, LÁ E EM TODO LUGAR</w:t>
      </w:r>
    </w:p>
    <w:p w:rsidR="009A70D1" w:rsidRDefault="009A70D1" w:rsidP="00C25224">
      <w:pPr>
        <w:pStyle w:val="western"/>
        <w:spacing w:after="0" w:line="240" w:lineRule="auto"/>
      </w:pPr>
    </w:p>
    <w:p w:rsidR="00C25224" w:rsidRDefault="00C25224" w:rsidP="00C25224">
      <w:pPr>
        <w:pStyle w:val="western"/>
        <w:spacing w:after="0" w:line="240" w:lineRule="auto"/>
      </w:pPr>
      <w:r>
        <w:t>II. SUBTÍTULO: A ressignificação de fronteiras através da institucionalização de políticas sociais de saúde no Mercosul</w:t>
      </w:r>
    </w:p>
    <w:p w:rsidR="00C25224" w:rsidRDefault="00C25224" w:rsidP="00C25224">
      <w:pPr>
        <w:pStyle w:val="western"/>
        <w:spacing w:after="0" w:line="240" w:lineRule="auto"/>
      </w:pPr>
    </w:p>
    <w:p w:rsidR="00C25224" w:rsidRDefault="00C25224" w:rsidP="00C25224">
      <w:pPr>
        <w:pStyle w:val="western"/>
      </w:pPr>
      <w:r>
        <w:t>III. DESARROLLO DEL TRABAJO:</w:t>
      </w:r>
    </w:p>
    <w:p w:rsidR="00C25224" w:rsidRDefault="00C25224" w:rsidP="00C25224">
      <w:pPr>
        <w:pStyle w:val="western"/>
        <w:spacing w:after="0" w:line="240" w:lineRule="auto"/>
      </w:pPr>
      <w:r>
        <w:t xml:space="preserve">Diante dos embates suportados pelas crises sanitárias globais, muito se fala na integração regional e </w:t>
      </w:r>
      <w:proofErr w:type="spellStart"/>
      <w:r>
        <w:t>transfronteiriça</w:t>
      </w:r>
      <w:proofErr w:type="spellEnd"/>
      <w:r>
        <w:t xml:space="preserve"> para a consecução de ações coordenadas entre as nações. O Mercado Comum do Sul (MERCOSUL), embora surja como uma resposta evidente à comunidade latino-americana nesse viés, encontra obstáculos diante de sua natureza </w:t>
      </w:r>
      <w:proofErr w:type="spellStart"/>
      <w:r>
        <w:t>inter-governamental</w:t>
      </w:r>
      <w:proofErr w:type="spellEnd"/>
      <w:r>
        <w:t xml:space="preserve">, uma vez que não suporta intervenções supranacionais. O estudo dos aportes de institucionalização teórica para a implementação de políticas </w:t>
      </w:r>
      <w:r w:rsidRPr="00C25224">
        <w:rPr>
          <w:color w:val="000000" w:themeColor="text1"/>
        </w:rPr>
        <w:t>sociais de saúde em zonas de fronteira no âmbito do Bloco, portanto, é o objetivo que fomenta esta reflexão</w:t>
      </w:r>
      <w:r>
        <w:t xml:space="preserve">. Tais que, os caminhos mais promissores coadunam-se com o desenvolvimento de uma cidadania </w:t>
      </w:r>
      <w:proofErr w:type="spellStart"/>
      <w:r>
        <w:t>mercosulista</w:t>
      </w:r>
      <w:proofErr w:type="spellEnd"/>
      <w:r>
        <w:t xml:space="preserve"> e com a aplicação uniforme de um direito regional entre os Estados-membros.</w:t>
      </w:r>
      <w:r w:rsidR="00730BDF">
        <w:rPr>
          <w:rStyle w:val="Refdenotaderodap"/>
        </w:rPr>
        <w:footnoteReference w:id="1"/>
      </w:r>
    </w:p>
    <w:p w:rsidR="00C25224" w:rsidRDefault="00C25224" w:rsidP="00C25224">
      <w:pPr>
        <w:pStyle w:val="western"/>
        <w:spacing w:after="0" w:line="240" w:lineRule="auto"/>
      </w:pPr>
      <w:proofErr w:type="spellStart"/>
      <w:r>
        <w:t>Historiograficamente</w:t>
      </w:r>
      <w:proofErr w:type="spellEnd"/>
      <w:r>
        <w:t xml:space="preserve">, as bases provisórias para a criação de um mercado comum foram implementadas com o Tratado de Assunção no dia 26 de março de 1991. Iniciou-se, por conseguinte, um processo de assentimento político e econômico entre a República da Argentina, a República Federativa do Brasil, a República do Paraguai e a República Oriental do Uruguai. Ainda nesta mesma década, no mês de dezembro de 1994, houve a modulação estrutural definitiva do Bloco com a assinatura do Protocolo de Ouro Preto. E, embora tenha marcado o contexto dos blocos econômicos na América Latina, o Mercosul colacionou a sua trajetória uma crescente demanda por vencimento de seus conflitos institucionais. </w:t>
      </w:r>
      <w:r w:rsidR="00730BDF">
        <w:rPr>
          <w:rStyle w:val="Refdenotaderodap"/>
        </w:rPr>
        <w:footnoteReference w:id="2"/>
      </w:r>
    </w:p>
    <w:p w:rsidR="00C25224" w:rsidRDefault="00C25224" w:rsidP="00C25224">
      <w:pPr>
        <w:pStyle w:val="western"/>
        <w:spacing w:after="0" w:line="240" w:lineRule="auto"/>
      </w:pPr>
      <w:r>
        <w:t xml:space="preserve">Naturalmente, com o transcorrer do tempo, proporcionou-se normativamente o crescimento de membros partes e associados à Organização. Destaca-se o artigo 20 do Tratado de Assunção, que possibilitou o ingresso dos Estados que integravam a Associação Latino-americana de Integração (ALADI) e o artigo 25 do Tratado de Montevidéu, que favoreceu a entrada de nações que assinaram Tratados com o Bloco. </w:t>
      </w:r>
    </w:p>
    <w:p w:rsidR="00C25224" w:rsidRDefault="00C25224" w:rsidP="00C25224">
      <w:pPr>
        <w:pStyle w:val="western"/>
        <w:spacing w:after="0" w:line="240" w:lineRule="auto"/>
      </w:pPr>
      <w:r>
        <w:lastRenderedPageBreak/>
        <w:t xml:space="preserve">Como uma resposta ao processo de integração dos últimos anos, também foram criados diferentes órgãos de abrangência dentro da organização, tais como o Instituto de Políticas Públicas de Direitos Humanos do MERCOSUL (IPPDH), o Instituto Social do MERCOSUL (ISM), o Fundo para a Convergência Estrutural do MERCOSUL (FOCEM), o Parlamento do MERCOSUL (PARLASUL), a Secretaria do MERCOSUL (SM), o Tribunal Permanente de Revisão (TPR) e a Unidade de Apoio à Participação Social (UPS). </w:t>
      </w:r>
    </w:p>
    <w:p w:rsidR="00C25224" w:rsidRDefault="00C25224" w:rsidP="00C25224">
      <w:pPr>
        <w:pStyle w:val="western"/>
        <w:spacing w:after="0" w:line="240" w:lineRule="auto"/>
      </w:pPr>
      <w:r>
        <w:t xml:space="preserve">Especificamente, o TPR e o PARLASUL são iniciativas basilares para a institucionalização teórica das políticas sociais fronteiriças, pois impulsionam a aplicabilidade do direito regional e da identificação </w:t>
      </w:r>
      <w:proofErr w:type="spellStart"/>
      <w:r>
        <w:t>mercosulista</w:t>
      </w:r>
      <w:proofErr w:type="spellEnd"/>
      <w:r>
        <w:t xml:space="preserve">. O exercício do TPR, criado a partir do Protocolo de </w:t>
      </w:r>
      <w:proofErr w:type="spellStart"/>
      <w:r>
        <w:t>Olivos</w:t>
      </w:r>
      <w:proofErr w:type="spellEnd"/>
      <w:r>
        <w:t xml:space="preserve">, ressoa como um importante avanço jurídico-institucional. Isso porque favorece o pacto legislativo comum entre os países no que se refere à solução de controvérsias dentro do Mercosul. A circunstância de árbitros permanentes com nacionalidades sul-americanas trouxe um caráter multifacetado às decisões emitidas pelo Tribunal. </w:t>
      </w:r>
    </w:p>
    <w:p w:rsidR="00C25224" w:rsidRDefault="00C25224" w:rsidP="00C25224">
      <w:pPr>
        <w:pStyle w:val="western"/>
        <w:spacing w:after="0" w:line="240" w:lineRule="auto"/>
      </w:pPr>
      <w:r>
        <w:t xml:space="preserve">Idem, a construção de uma identidade regional cativa maior amplitude com a previsão do PARLASUL, o qual substituiu a Comissão Parlamentar Conjunta originalmente prevista no Protocolo de Ouro Preto, em virtude do acordo político no ano de 2009. Este órgão de índole democrática e legislativa tornou-se o responsável pela representação civil dos países-membros. No ano de 2010, foi expedida uma </w:t>
      </w:r>
      <w:r w:rsidR="008C3433">
        <w:t>Decisão</w:t>
      </w:r>
      <w:r>
        <w:t xml:space="preserve"> (n. 64/10) no Conselho do Mercado Comum (CMC) para a formalização de um Estatuto da Cidadania. </w:t>
      </w:r>
      <w:r w:rsidR="00730BDF">
        <w:rPr>
          <w:rStyle w:val="Refdenotaderodap"/>
        </w:rPr>
        <w:footnoteReference w:id="3"/>
      </w:r>
      <w:r>
        <w:t xml:space="preserve">Assim como o PARLASUL, o diploma normativo tencionou instrumentalizar uma plataforma de comunicação para a identidade regional. E as diretrizes na construção paulatina dessa identificação estiveram ao entorno de onze corpos </w:t>
      </w:r>
      <w:r w:rsidR="008C3433">
        <w:t>temáticos</w:t>
      </w:r>
      <w:r>
        <w:t xml:space="preserve"> de </w:t>
      </w:r>
      <w:r w:rsidR="008C3433">
        <w:t>atuação</w:t>
      </w:r>
      <w:r>
        <w:t xml:space="preserve"> (circulação de pessoas, fronteiras, </w:t>
      </w:r>
      <w:r w:rsidR="008C3433">
        <w:t>identificação</w:t>
      </w:r>
      <w:r>
        <w:t xml:space="preserve">, </w:t>
      </w:r>
      <w:r w:rsidR="008C3433">
        <w:t>documentação</w:t>
      </w:r>
      <w:r>
        <w:t xml:space="preserve"> </w:t>
      </w:r>
      <w:r w:rsidR="008C3433">
        <w:t>cooperação</w:t>
      </w:r>
      <w:r>
        <w:t xml:space="preserve"> consular, empregos, seguridade sociais, </w:t>
      </w:r>
      <w:r w:rsidR="008C3433">
        <w:t>educação</w:t>
      </w:r>
      <w:r>
        <w:t xml:space="preserve">, transporte, </w:t>
      </w:r>
      <w:r w:rsidR="008C3433">
        <w:t>comunicações</w:t>
      </w:r>
      <w:r>
        <w:t xml:space="preserve">, defesa do consumidor, e direitos fundamentais aos Estados-membros da </w:t>
      </w:r>
      <w:r w:rsidR="008C3433">
        <w:t>Organização</w:t>
      </w:r>
      <w:r>
        <w:t xml:space="preserve">). Ainda, a Decisão n. 32/2017 e a LIII </w:t>
      </w:r>
      <w:r w:rsidR="008C3433">
        <w:t>Reunião</w:t>
      </w:r>
      <w:r>
        <w:t xml:space="preserve"> </w:t>
      </w:r>
      <w:r w:rsidR="008C3433">
        <w:t>Ordinária</w:t>
      </w:r>
      <w:r>
        <w:t xml:space="preserve"> do CMC de 2018, acompanharam o intento e elaboraram uma Cartilha da Cidadania do Mercosul. </w:t>
      </w:r>
    </w:p>
    <w:p w:rsidR="00C25224" w:rsidRDefault="00C25224" w:rsidP="00C25224">
      <w:pPr>
        <w:pStyle w:val="western"/>
        <w:spacing w:after="0" w:line="240" w:lineRule="auto"/>
      </w:pPr>
      <w:r>
        <w:t xml:space="preserve">Não obstante, na sua dimensão institucional, a Organização sofre altos e baixos. Fundamentalmente, está distante da construção palpável de uma cidadania </w:t>
      </w:r>
      <w:proofErr w:type="spellStart"/>
      <w:r>
        <w:t>mercosulista</w:t>
      </w:r>
      <w:proofErr w:type="spellEnd"/>
      <w:r>
        <w:t xml:space="preserve">, cujos desdobramentos conglobam-se na insuficiente concessão de direitos regionais à população. Evitar essa instabilidade de atuação consiste na dilatação de uma institucionalidade social no Mercosul a qual seja inclusiva, vinculante e que promova respeito as identidades nacionais e aos bens públicos regionais. A interdependência e articulação produtiva também figuram com importância para evitar os conflitos latentes do presidencialismo, agendas paralelas e os discursos de fragmentação no Bloco. O transpasse da linha tênue entre cidadania e nacionalidade, sobretudo deve ser evitado no intuito de conservar a soberania nacional dos Estados-membros. </w:t>
      </w:r>
      <w:r w:rsidR="00730BDF">
        <w:rPr>
          <w:rStyle w:val="Refdenotaderodap"/>
        </w:rPr>
        <w:footnoteReference w:id="4"/>
      </w:r>
    </w:p>
    <w:p w:rsidR="00C25224" w:rsidRDefault="00C25224" w:rsidP="00C25224">
      <w:pPr>
        <w:pStyle w:val="western"/>
        <w:spacing w:line="240" w:lineRule="auto"/>
      </w:pPr>
      <w:r>
        <w:lastRenderedPageBreak/>
        <w:t xml:space="preserve">O recente evento </w:t>
      </w:r>
      <w:r w:rsidR="008C3433">
        <w:t>pandêmico</w:t>
      </w:r>
      <w:r>
        <w:t xml:space="preserve"> da COVID-19, em derrocada, pressionou a abordagem cooperativa e denunciou a complexidade que é interagir-se internacionalmente. Da mesma forma, expôs pilares negativos no funcionamento sistemático da América Latina, como as nivelações díspares de desigualdades socioeconômicas, os padrões históricos de discriminações sociais e os dilemas institucionais democráticos. Dado o reconhecimento da universalidade do direito à saúde, direito que é merecedor de toda e qualquer prioridade, a Comissão Interamericana de Direitos Humanos </w:t>
      </w:r>
      <w:r w:rsidR="00DA3B84">
        <w:t xml:space="preserve">(CIDH) </w:t>
      </w:r>
      <w:r>
        <w:t xml:space="preserve">emitiu a Resolução n. 01/2020 aos Estados Americanos. </w:t>
      </w:r>
      <w:r w:rsidR="00730BDF">
        <w:rPr>
          <w:rStyle w:val="Refdenotaderodap"/>
        </w:rPr>
        <w:footnoteReference w:id="5"/>
      </w:r>
      <w:r>
        <w:t xml:space="preserve">Nesse estigma global, formulou 85 recomendações, aclamando deveres internacionais no campo dos direitos humanos, econômicos-sociais, culturais e ambientais. E holisticamente, interpretou o direito à saúde como inseparável nas suas esferas psíquica, física e mental. </w:t>
      </w:r>
    </w:p>
    <w:p w:rsidR="00C25224" w:rsidRDefault="00C25224" w:rsidP="00C25224">
      <w:pPr>
        <w:pStyle w:val="western"/>
        <w:spacing w:line="240" w:lineRule="auto"/>
      </w:pPr>
      <w:r>
        <w:t xml:space="preserve">Dessa forma, conclui-se que ainda há uma institucionalização teórica desfavorável dentro do Mercosul, e que essa consideração segue por uma constante histórica desde o seu nascimento. </w:t>
      </w:r>
      <w:r w:rsidR="00730BDF">
        <w:rPr>
          <w:rStyle w:val="Refdenotaderodap"/>
        </w:rPr>
        <w:footnoteReference w:id="6"/>
      </w:r>
      <w:r>
        <w:t xml:space="preserve">Mas, a preocupação crescente na criação de normatividades únicas e instrumentos regionais para as migrações, para a identidade </w:t>
      </w:r>
      <w:proofErr w:type="spellStart"/>
      <w:r>
        <w:t>mercosulista</w:t>
      </w:r>
      <w:proofErr w:type="spellEnd"/>
      <w:r>
        <w:t xml:space="preserve"> e para as políticas sociais em zonas de fronteira, especialmente as de saúde durante o evento pandêmico, evidenciam que a cooperação regional foi </w:t>
      </w:r>
      <w:proofErr w:type="spellStart"/>
      <w:r>
        <w:t>ressignificada</w:t>
      </w:r>
      <w:proofErr w:type="spellEnd"/>
      <w:r>
        <w:t xml:space="preserve"> e aprofundada. Quando se observa que também há um retorno do regionalismo aberto, constata-se que essa interdependência emergencial e momentânea representa uma grande oportunidade de integração entre as regiões. </w:t>
      </w:r>
    </w:p>
    <w:p w:rsidR="00C25224" w:rsidRDefault="00C25224" w:rsidP="00C25224">
      <w:pPr>
        <w:pStyle w:val="western"/>
        <w:spacing w:after="240" w:line="240" w:lineRule="auto"/>
      </w:pPr>
    </w:p>
    <w:p w:rsidR="00C25224" w:rsidRDefault="00C25224" w:rsidP="00C25224">
      <w:pPr>
        <w:pStyle w:val="western"/>
        <w:spacing w:line="240" w:lineRule="auto"/>
      </w:pPr>
      <w:r>
        <w:t>IV. ALGUNAS REFERENCIAS:</w:t>
      </w:r>
    </w:p>
    <w:p w:rsidR="00C25224" w:rsidRDefault="00C25224" w:rsidP="00C25224">
      <w:pPr>
        <w:pStyle w:val="western"/>
        <w:spacing w:line="240" w:lineRule="auto"/>
      </w:pPr>
      <w:r>
        <w:t xml:space="preserve">Comissão Interamericana de Direitos Humanos [CIDH] (2020). Resolução n. 01/2020: Pandemia e Direitos Humanos nas Américas. </w:t>
      </w:r>
      <w:r>
        <w:rPr>
          <w:i/>
          <w:iCs/>
        </w:rPr>
        <w:t>Organização dos Estados Americanos [OEA].</w:t>
      </w:r>
      <w:r>
        <w:t xml:space="preserve"> Recuperada de https://www.oas.org/pt/cidh/decisiones/pdf/Resolucao-1-20-pt.pdf</w:t>
      </w:r>
    </w:p>
    <w:p w:rsidR="00C25224" w:rsidRDefault="00C25224" w:rsidP="00C25224">
      <w:pPr>
        <w:pStyle w:val="western"/>
        <w:spacing w:line="240" w:lineRule="auto"/>
      </w:pPr>
      <w:r>
        <w:t xml:space="preserve">Devoto, M. (2018). </w:t>
      </w:r>
      <w:proofErr w:type="spellStart"/>
      <w:r>
        <w:t>Hacia</w:t>
      </w:r>
      <w:proofErr w:type="spellEnd"/>
      <w:r>
        <w:t xml:space="preserve"> una </w:t>
      </w:r>
      <w:proofErr w:type="spellStart"/>
      <w:r>
        <w:t>ciudadanía</w:t>
      </w:r>
      <w:proofErr w:type="spellEnd"/>
      <w:r>
        <w:t xml:space="preserve"> </w:t>
      </w:r>
      <w:proofErr w:type="spellStart"/>
      <w:r>
        <w:t>del</w:t>
      </w:r>
      <w:proofErr w:type="spellEnd"/>
      <w:r>
        <w:t xml:space="preserve"> MERCOSUR. </w:t>
      </w:r>
      <w:r>
        <w:rPr>
          <w:i/>
          <w:iCs/>
        </w:rPr>
        <w:t xml:space="preserve">Revista MERCOSUR de </w:t>
      </w:r>
      <w:proofErr w:type="spellStart"/>
      <w:r>
        <w:rPr>
          <w:i/>
          <w:iCs/>
        </w:rPr>
        <w:t>políticas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sociales</w:t>
      </w:r>
      <w:proofErr w:type="spellEnd"/>
      <w:r>
        <w:rPr>
          <w:i/>
          <w:iCs/>
        </w:rPr>
        <w:t>, 2</w:t>
      </w:r>
      <w:r>
        <w:t xml:space="preserve">, 326-332. </w:t>
      </w:r>
      <w:proofErr w:type="spellStart"/>
      <w:r>
        <w:t>doi</w:t>
      </w:r>
      <w:proofErr w:type="spellEnd"/>
      <w:r>
        <w:t xml:space="preserve">: 10.28917/ism.2018-v2-326 </w:t>
      </w:r>
    </w:p>
    <w:p w:rsidR="00C25224" w:rsidRDefault="00C25224" w:rsidP="00C25224">
      <w:pPr>
        <w:pStyle w:val="western"/>
        <w:spacing w:line="240" w:lineRule="auto"/>
      </w:pPr>
      <w:proofErr w:type="spellStart"/>
      <w:r>
        <w:t>Gallegos</w:t>
      </w:r>
      <w:proofErr w:type="spellEnd"/>
      <w:r>
        <w:t xml:space="preserve">, J. R. </w:t>
      </w:r>
      <w:proofErr w:type="spellStart"/>
      <w:r>
        <w:rPr>
          <w:i/>
          <w:iCs/>
        </w:rPr>
        <w:t>Hacia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el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Sur</w:t>
      </w:r>
      <w:proofErr w:type="spellEnd"/>
      <w:r>
        <w:rPr>
          <w:i/>
          <w:iCs/>
        </w:rPr>
        <w:t xml:space="preserve">: La </w:t>
      </w:r>
      <w:proofErr w:type="spellStart"/>
      <w:r>
        <w:rPr>
          <w:i/>
          <w:iCs/>
        </w:rPr>
        <w:t>Construcción</w:t>
      </w:r>
      <w:proofErr w:type="spellEnd"/>
      <w:r>
        <w:rPr>
          <w:i/>
          <w:iCs/>
        </w:rPr>
        <w:t xml:space="preserve"> de </w:t>
      </w:r>
      <w:proofErr w:type="spellStart"/>
      <w:r>
        <w:rPr>
          <w:i/>
          <w:iCs/>
        </w:rPr>
        <w:t>la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Ciudadanía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Suramericana</w:t>
      </w:r>
      <w:proofErr w:type="spellEnd"/>
      <w:r>
        <w:rPr>
          <w:i/>
          <w:iCs/>
        </w:rPr>
        <w:t xml:space="preserve"> y </w:t>
      </w:r>
      <w:proofErr w:type="spellStart"/>
      <w:r>
        <w:rPr>
          <w:i/>
          <w:iCs/>
        </w:rPr>
        <w:t>la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movilidad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intrarregional</w:t>
      </w:r>
      <w:proofErr w:type="spellEnd"/>
      <w:r>
        <w:rPr>
          <w:i/>
          <w:iCs/>
        </w:rPr>
        <w:t xml:space="preserve">. </w:t>
      </w:r>
      <w:r>
        <w:t xml:space="preserve">Quito, </w:t>
      </w:r>
      <w:proofErr w:type="spellStart"/>
      <w:r>
        <w:t>Ecuador</w:t>
      </w:r>
      <w:proofErr w:type="spellEnd"/>
      <w:r>
        <w:t xml:space="preserve">: CELAG. </w:t>
      </w:r>
    </w:p>
    <w:p w:rsidR="00C25224" w:rsidRDefault="00C25224" w:rsidP="00C25224">
      <w:pPr>
        <w:pStyle w:val="western"/>
        <w:spacing w:line="240" w:lineRule="auto"/>
      </w:pPr>
      <w:r>
        <w:lastRenderedPageBreak/>
        <w:t xml:space="preserve">Santana </w:t>
      </w:r>
      <w:proofErr w:type="spellStart"/>
      <w:r>
        <w:t>Peña</w:t>
      </w:r>
      <w:proofErr w:type="spellEnd"/>
      <w:r>
        <w:t xml:space="preserve">, I. A. (2017). </w:t>
      </w:r>
      <w:proofErr w:type="spellStart"/>
      <w:r>
        <w:t>Ciudadanía</w:t>
      </w:r>
      <w:proofErr w:type="spellEnd"/>
      <w:r>
        <w:t xml:space="preserve"> </w:t>
      </w:r>
      <w:proofErr w:type="spellStart"/>
      <w:r>
        <w:t>del</w:t>
      </w:r>
      <w:proofErr w:type="spellEnd"/>
      <w:r>
        <w:t xml:space="preserve"> MERCOSUR: avances </w:t>
      </w:r>
      <w:proofErr w:type="spellStart"/>
      <w:r>
        <w:t>en</w:t>
      </w:r>
      <w:proofErr w:type="spellEnd"/>
      <w:r>
        <w:t xml:space="preserve"> </w:t>
      </w:r>
      <w:proofErr w:type="spellStart"/>
      <w:r>
        <w:t>su</w:t>
      </w:r>
      <w:proofErr w:type="spellEnd"/>
      <w:r>
        <w:t xml:space="preserve"> </w:t>
      </w:r>
      <w:proofErr w:type="spellStart"/>
      <w:r>
        <w:t>construcción</w:t>
      </w:r>
      <w:proofErr w:type="spellEnd"/>
      <w:r>
        <w:t xml:space="preserve"> y </w:t>
      </w:r>
      <w:proofErr w:type="spellStart"/>
      <w:r>
        <w:t>consolidación</w:t>
      </w:r>
      <w:proofErr w:type="spellEnd"/>
      <w:r>
        <w:t xml:space="preserve">. </w:t>
      </w:r>
      <w:r>
        <w:rPr>
          <w:i/>
          <w:iCs/>
        </w:rPr>
        <w:t xml:space="preserve">Revista MERCOSUR de </w:t>
      </w:r>
      <w:proofErr w:type="spellStart"/>
      <w:r>
        <w:rPr>
          <w:i/>
          <w:iCs/>
        </w:rPr>
        <w:t>políticas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sociales</w:t>
      </w:r>
      <w:proofErr w:type="spellEnd"/>
      <w:r>
        <w:rPr>
          <w:i/>
          <w:iCs/>
        </w:rPr>
        <w:t>, 1</w:t>
      </w:r>
      <w:r>
        <w:t>, 13-34.</w:t>
      </w:r>
      <w:r>
        <w:br/>
      </w:r>
      <w:proofErr w:type="spellStart"/>
      <w:r>
        <w:t>doi</w:t>
      </w:r>
      <w:proofErr w:type="spellEnd"/>
      <w:r>
        <w:t xml:space="preserve">: 10.28917/ism.2017-v1-13 </w:t>
      </w:r>
    </w:p>
    <w:p w:rsidR="00C25224" w:rsidRDefault="00C25224" w:rsidP="00C25224">
      <w:pPr>
        <w:pStyle w:val="western"/>
        <w:spacing w:line="240" w:lineRule="auto"/>
      </w:pPr>
      <w:proofErr w:type="spellStart"/>
      <w:r>
        <w:t>Villamar</w:t>
      </w:r>
      <w:proofErr w:type="spellEnd"/>
      <w:r>
        <w:t xml:space="preserve">, M. C. V. (2018). Regionalismos e </w:t>
      </w:r>
      <w:proofErr w:type="spellStart"/>
      <w:r>
        <w:t>Migrações</w:t>
      </w:r>
      <w:proofErr w:type="spellEnd"/>
      <w:r>
        <w:t xml:space="preserve"> Internacionais na </w:t>
      </w:r>
      <w:proofErr w:type="spellStart"/>
      <w:r>
        <w:t>América</w:t>
      </w:r>
      <w:proofErr w:type="spellEnd"/>
      <w:r>
        <w:t xml:space="preserve"> do Sul: Contexto e Perspectivas Futuras sobre as </w:t>
      </w:r>
      <w:proofErr w:type="spellStart"/>
      <w:r>
        <w:t>Experiências</w:t>
      </w:r>
      <w:proofErr w:type="spellEnd"/>
      <w:r>
        <w:t xml:space="preserve"> na Comunidade Andina, no Mercosul e na </w:t>
      </w:r>
      <w:proofErr w:type="spellStart"/>
      <w:r>
        <w:t>Unasul</w:t>
      </w:r>
      <w:proofErr w:type="spellEnd"/>
      <w:r>
        <w:t xml:space="preserve">. </w:t>
      </w:r>
      <w:r>
        <w:rPr>
          <w:i/>
          <w:iCs/>
        </w:rPr>
        <w:t xml:space="preserve">Espaço Aberto, 2, </w:t>
      </w:r>
      <w:r>
        <w:t>131-148. Recuperado de https://revistas.ufrj.br/index.php/EspacoAberto/article/view/20197/12582</w:t>
      </w:r>
    </w:p>
    <w:p w:rsidR="00C25224" w:rsidRDefault="00C25224" w:rsidP="00C25224">
      <w:pPr>
        <w:pStyle w:val="western"/>
        <w:spacing w:line="240" w:lineRule="auto"/>
      </w:pPr>
      <w:proofErr w:type="spellStart"/>
      <w:r>
        <w:t>Zardo</w:t>
      </w:r>
      <w:proofErr w:type="spellEnd"/>
      <w:r>
        <w:t xml:space="preserve">, L. M. Z. (2019). Processos de </w:t>
      </w:r>
      <w:proofErr w:type="spellStart"/>
      <w:r>
        <w:t>integração</w:t>
      </w:r>
      <w:proofErr w:type="spellEnd"/>
      <w:r>
        <w:t xml:space="preserve"> e cidadania regional no MERCOSUL. </w:t>
      </w:r>
      <w:r>
        <w:rPr>
          <w:i/>
          <w:iCs/>
        </w:rPr>
        <w:t xml:space="preserve">Revista MERCOSUR de </w:t>
      </w:r>
      <w:proofErr w:type="spellStart"/>
      <w:r>
        <w:rPr>
          <w:i/>
          <w:iCs/>
        </w:rPr>
        <w:t>políticas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sociales</w:t>
      </w:r>
      <w:proofErr w:type="spellEnd"/>
      <w:r>
        <w:rPr>
          <w:i/>
          <w:iCs/>
        </w:rPr>
        <w:t>, 3</w:t>
      </w:r>
      <w:r>
        <w:t xml:space="preserve">, 45-68. https://doi.org/10.28917/ ism.2019-v3-45 </w:t>
      </w:r>
    </w:p>
    <w:p w:rsidR="00C25224" w:rsidRDefault="00C25224"/>
    <w:sectPr w:rsidR="00C2522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C961FE" w:rsidRDefault="00C961FE" w:rsidP="00730BDF">
      <w:r>
        <w:separator/>
      </w:r>
    </w:p>
  </w:endnote>
  <w:endnote w:type="continuationSeparator" w:id="0">
    <w:p w:rsidR="00C961FE" w:rsidRDefault="00C961FE" w:rsidP="00730B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C961FE" w:rsidRDefault="00C961FE" w:rsidP="00730BDF">
      <w:r>
        <w:separator/>
      </w:r>
    </w:p>
  </w:footnote>
  <w:footnote w:type="continuationSeparator" w:id="0">
    <w:p w:rsidR="00C961FE" w:rsidRDefault="00C961FE" w:rsidP="00730BDF">
      <w:r>
        <w:continuationSeparator/>
      </w:r>
    </w:p>
  </w:footnote>
  <w:footnote w:id="1">
    <w:p w:rsidR="00730BDF" w:rsidRDefault="00730BDF" w:rsidP="00730BDF">
      <w:pPr>
        <w:pStyle w:val="western"/>
        <w:spacing w:line="240" w:lineRule="auto"/>
      </w:pPr>
      <w:r>
        <w:rPr>
          <w:rStyle w:val="Refdenotaderodap"/>
        </w:rPr>
        <w:footnoteRef/>
      </w:r>
      <w:r>
        <w:t xml:space="preserve"> </w:t>
      </w:r>
      <w:r w:rsidRPr="00730BDF">
        <w:rPr>
          <w:sz w:val="20"/>
          <w:szCs w:val="20"/>
        </w:rPr>
        <w:t xml:space="preserve">Devoto, M. (2018). </w:t>
      </w:r>
      <w:proofErr w:type="spellStart"/>
      <w:r w:rsidRPr="00730BDF">
        <w:rPr>
          <w:sz w:val="20"/>
          <w:szCs w:val="20"/>
        </w:rPr>
        <w:t>Hacia</w:t>
      </w:r>
      <w:proofErr w:type="spellEnd"/>
      <w:r w:rsidRPr="00730BDF">
        <w:rPr>
          <w:sz w:val="20"/>
          <w:szCs w:val="20"/>
        </w:rPr>
        <w:t xml:space="preserve"> una </w:t>
      </w:r>
      <w:proofErr w:type="spellStart"/>
      <w:r w:rsidRPr="00730BDF">
        <w:rPr>
          <w:sz w:val="20"/>
          <w:szCs w:val="20"/>
        </w:rPr>
        <w:t>ciudadanía</w:t>
      </w:r>
      <w:proofErr w:type="spellEnd"/>
      <w:r w:rsidRPr="00730BDF">
        <w:rPr>
          <w:sz w:val="20"/>
          <w:szCs w:val="20"/>
        </w:rPr>
        <w:t xml:space="preserve"> </w:t>
      </w:r>
      <w:proofErr w:type="spellStart"/>
      <w:r w:rsidRPr="00730BDF">
        <w:rPr>
          <w:sz w:val="20"/>
          <w:szCs w:val="20"/>
        </w:rPr>
        <w:t>del</w:t>
      </w:r>
      <w:proofErr w:type="spellEnd"/>
      <w:r w:rsidRPr="00730BDF">
        <w:rPr>
          <w:sz w:val="20"/>
          <w:szCs w:val="20"/>
        </w:rPr>
        <w:t xml:space="preserve"> MERCOSUR. </w:t>
      </w:r>
      <w:r w:rsidRPr="00730BDF">
        <w:rPr>
          <w:i/>
          <w:iCs/>
          <w:sz w:val="20"/>
          <w:szCs w:val="20"/>
        </w:rPr>
        <w:t xml:space="preserve">Revista MERCOSUR de </w:t>
      </w:r>
      <w:proofErr w:type="spellStart"/>
      <w:r w:rsidRPr="00730BDF">
        <w:rPr>
          <w:i/>
          <w:iCs/>
          <w:sz w:val="20"/>
          <w:szCs w:val="20"/>
        </w:rPr>
        <w:t>políticas</w:t>
      </w:r>
      <w:proofErr w:type="spellEnd"/>
      <w:r w:rsidRPr="00730BDF">
        <w:rPr>
          <w:i/>
          <w:iCs/>
          <w:sz w:val="20"/>
          <w:szCs w:val="20"/>
        </w:rPr>
        <w:t xml:space="preserve"> </w:t>
      </w:r>
      <w:proofErr w:type="spellStart"/>
      <w:r w:rsidRPr="00730BDF">
        <w:rPr>
          <w:i/>
          <w:iCs/>
          <w:sz w:val="20"/>
          <w:szCs w:val="20"/>
        </w:rPr>
        <w:t>sociales</w:t>
      </w:r>
      <w:proofErr w:type="spellEnd"/>
      <w:r w:rsidRPr="00730BDF">
        <w:rPr>
          <w:i/>
          <w:iCs/>
          <w:sz w:val="20"/>
          <w:szCs w:val="20"/>
        </w:rPr>
        <w:t>, 2</w:t>
      </w:r>
      <w:r w:rsidRPr="00730BDF">
        <w:rPr>
          <w:sz w:val="20"/>
          <w:szCs w:val="20"/>
        </w:rPr>
        <w:t xml:space="preserve">, 326-332. </w:t>
      </w:r>
      <w:proofErr w:type="spellStart"/>
      <w:r w:rsidRPr="00730BDF">
        <w:rPr>
          <w:sz w:val="20"/>
          <w:szCs w:val="20"/>
        </w:rPr>
        <w:t>doi</w:t>
      </w:r>
      <w:proofErr w:type="spellEnd"/>
      <w:r w:rsidRPr="00730BDF">
        <w:rPr>
          <w:sz w:val="20"/>
          <w:szCs w:val="20"/>
        </w:rPr>
        <w:t>: 10.28917/ism.2018-v2-326</w:t>
      </w:r>
      <w:r>
        <w:t xml:space="preserve"> </w:t>
      </w:r>
    </w:p>
  </w:footnote>
  <w:footnote w:id="2">
    <w:p w:rsidR="00730BDF" w:rsidRDefault="00730BDF" w:rsidP="00730BDF">
      <w:pPr>
        <w:pStyle w:val="western"/>
        <w:spacing w:line="240" w:lineRule="auto"/>
      </w:pPr>
      <w:r>
        <w:rPr>
          <w:rStyle w:val="Refdenotaderodap"/>
        </w:rPr>
        <w:footnoteRef/>
      </w:r>
      <w:r>
        <w:t xml:space="preserve"> </w:t>
      </w:r>
      <w:proofErr w:type="spellStart"/>
      <w:r w:rsidRPr="00730BDF">
        <w:rPr>
          <w:sz w:val="20"/>
          <w:szCs w:val="20"/>
        </w:rPr>
        <w:t>Gallegos</w:t>
      </w:r>
      <w:proofErr w:type="spellEnd"/>
      <w:r w:rsidRPr="00730BDF">
        <w:rPr>
          <w:sz w:val="20"/>
          <w:szCs w:val="20"/>
        </w:rPr>
        <w:t xml:space="preserve">, J. R. </w:t>
      </w:r>
      <w:proofErr w:type="spellStart"/>
      <w:r w:rsidRPr="00730BDF">
        <w:rPr>
          <w:i/>
          <w:iCs/>
          <w:sz w:val="20"/>
          <w:szCs w:val="20"/>
        </w:rPr>
        <w:t>Hacia</w:t>
      </w:r>
      <w:proofErr w:type="spellEnd"/>
      <w:r w:rsidRPr="00730BDF">
        <w:rPr>
          <w:i/>
          <w:iCs/>
          <w:sz w:val="20"/>
          <w:szCs w:val="20"/>
        </w:rPr>
        <w:t xml:space="preserve"> </w:t>
      </w:r>
      <w:proofErr w:type="spellStart"/>
      <w:r w:rsidRPr="00730BDF">
        <w:rPr>
          <w:i/>
          <w:iCs/>
          <w:sz w:val="20"/>
          <w:szCs w:val="20"/>
        </w:rPr>
        <w:t>el</w:t>
      </w:r>
      <w:proofErr w:type="spellEnd"/>
      <w:r w:rsidRPr="00730BDF">
        <w:rPr>
          <w:i/>
          <w:iCs/>
          <w:sz w:val="20"/>
          <w:szCs w:val="20"/>
        </w:rPr>
        <w:t xml:space="preserve"> </w:t>
      </w:r>
      <w:proofErr w:type="spellStart"/>
      <w:r w:rsidRPr="00730BDF">
        <w:rPr>
          <w:i/>
          <w:iCs/>
          <w:sz w:val="20"/>
          <w:szCs w:val="20"/>
        </w:rPr>
        <w:t>Sur</w:t>
      </w:r>
      <w:proofErr w:type="spellEnd"/>
      <w:r w:rsidRPr="00730BDF">
        <w:rPr>
          <w:i/>
          <w:iCs/>
          <w:sz w:val="20"/>
          <w:szCs w:val="20"/>
        </w:rPr>
        <w:t xml:space="preserve">: La </w:t>
      </w:r>
      <w:proofErr w:type="spellStart"/>
      <w:r w:rsidRPr="00730BDF">
        <w:rPr>
          <w:i/>
          <w:iCs/>
          <w:sz w:val="20"/>
          <w:szCs w:val="20"/>
        </w:rPr>
        <w:t>Construcción</w:t>
      </w:r>
      <w:proofErr w:type="spellEnd"/>
      <w:r w:rsidRPr="00730BDF">
        <w:rPr>
          <w:i/>
          <w:iCs/>
          <w:sz w:val="20"/>
          <w:szCs w:val="20"/>
        </w:rPr>
        <w:t xml:space="preserve"> de </w:t>
      </w:r>
      <w:proofErr w:type="spellStart"/>
      <w:r w:rsidRPr="00730BDF">
        <w:rPr>
          <w:i/>
          <w:iCs/>
          <w:sz w:val="20"/>
          <w:szCs w:val="20"/>
        </w:rPr>
        <w:t>la</w:t>
      </w:r>
      <w:proofErr w:type="spellEnd"/>
      <w:r w:rsidRPr="00730BDF">
        <w:rPr>
          <w:i/>
          <w:iCs/>
          <w:sz w:val="20"/>
          <w:szCs w:val="20"/>
        </w:rPr>
        <w:t xml:space="preserve"> </w:t>
      </w:r>
      <w:proofErr w:type="spellStart"/>
      <w:r w:rsidRPr="00730BDF">
        <w:rPr>
          <w:i/>
          <w:iCs/>
          <w:sz w:val="20"/>
          <w:szCs w:val="20"/>
        </w:rPr>
        <w:t>Ciudadanía</w:t>
      </w:r>
      <w:proofErr w:type="spellEnd"/>
      <w:r w:rsidRPr="00730BDF">
        <w:rPr>
          <w:i/>
          <w:iCs/>
          <w:sz w:val="20"/>
          <w:szCs w:val="20"/>
        </w:rPr>
        <w:t xml:space="preserve"> </w:t>
      </w:r>
      <w:proofErr w:type="spellStart"/>
      <w:r w:rsidRPr="00730BDF">
        <w:rPr>
          <w:i/>
          <w:iCs/>
          <w:sz w:val="20"/>
          <w:szCs w:val="20"/>
        </w:rPr>
        <w:t>Suramericana</w:t>
      </w:r>
      <w:proofErr w:type="spellEnd"/>
      <w:r w:rsidRPr="00730BDF">
        <w:rPr>
          <w:i/>
          <w:iCs/>
          <w:sz w:val="20"/>
          <w:szCs w:val="20"/>
        </w:rPr>
        <w:t xml:space="preserve"> y </w:t>
      </w:r>
      <w:proofErr w:type="spellStart"/>
      <w:r w:rsidRPr="00730BDF">
        <w:rPr>
          <w:i/>
          <w:iCs/>
          <w:sz w:val="20"/>
          <w:szCs w:val="20"/>
        </w:rPr>
        <w:t>la</w:t>
      </w:r>
      <w:proofErr w:type="spellEnd"/>
      <w:r w:rsidRPr="00730BDF">
        <w:rPr>
          <w:i/>
          <w:iCs/>
          <w:sz w:val="20"/>
          <w:szCs w:val="20"/>
        </w:rPr>
        <w:t xml:space="preserve"> </w:t>
      </w:r>
      <w:proofErr w:type="spellStart"/>
      <w:r w:rsidRPr="00730BDF">
        <w:rPr>
          <w:i/>
          <w:iCs/>
          <w:sz w:val="20"/>
          <w:szCs w:val="20"/>
        </w:rPr>
        <w:t>movilidad</w:t>
      </w:r>
      <w:proofErr w:type="spellEnd"/>
      <w:r w:rsidRPr="00730BDF">
        <w:rPr>
          <w:i/>
          <w:iCs/>
          <w:sz w:val="20"/>
          <w:szCs w:val="20"/>
        </w:rPr>
        <w:t xml:space="preserve"> </w:t>
      </w:r>
      <w:proofErr w:type="spellStart"/>
      <w:r w:rsidRPr="00730BDF">
        <w:rPr>
          <w:i/>
          <w:iCs/>
          <w:sz w:val="20"/>
          <w:szCs w:val="20"/>
        </w:rPr>
        <w:t>intrarregional</w:t>
      </w:r>
      <w:proofErr w:type="spellEnd"/>
      <w:r w:rsidRPr="00730BDF">
        <w:rPr>
          <w:i/>
          <w:iCs/>
          <w:sz w:val="20"/>
          <w:szCs w:val="20"/>
        </w:rPr>
        <w:t xml:space="preserve">. </w:t>
      </w:r>
      <w:r w:rsidRPr="00730BDF">
        <w:rPr>
          <w:sz w:val="20"/>
          <w:szCs w:val="20"/>
        </w:rPr>
        <w:t xml:space="preserve">Quito, </w:t>
      </w:r>
      <w:proofErr w:type="spellStart"/>
      <w:r w:rsidRPr="00730BDF">
        <w:rPr>
          <w:sz w:val="20"/>
          <w:szCs w:val="20"/>
        </w:rPr>
        <w:t>Ecuador</w:t>
      </w:r>
      <w:proofErr w:type="spellEnd"/>
      <w:r w:rsidRPr="00730BDF">
        <w:rPr>
          <w:sz w:val="20"/>
          <w:szCs w:val="20"/>
        </w:rPr>
        <w:t>: CELAG.</w:t>
      </w:r>
      <w:r>
        <w:t xml:space="preserve"> </w:t>
      </w:r>
    </w:p>
    <w:p w:rsidR="00730BDF" w:rsidRDefault="00730BDF">
      <w:pPr>
        <w:pStyle w:val="Textodenotaderodap"/>
      </w:pPr>
    </w:p>
  </w:footnote>
  <w:footnote w:id="3">
    <w:p w:rsidR="00730BDF" w:rsidRPr="00730BDF" w:rsidRDefault="00730BDF" w:rsidP="00730BDF">
      <w:pPr>
        <w:pStyle w:val="western"/>
        <w:spacing w:line="240" w:lineRule="auto"/>
        <w:rPr>
          <w:sz w:val="20"/>
          <w:szCs w:val="20"/>
        </w:rPr>
      </w:pPr>
      <w:r w:rsidRPr="00730BDF">
        <w:rPr>
          <w:rStyle w:val="Refdenotaderodap"/>
          <w:sz w:val="20"/>
          <w:szCs w:val="20"/>
        </w:rPr>
        <w:footnoteRef/>
      </w:r>
      <w:r w:rsidRPr="00730BDF">
        <w:rPr>
          <w:sz w:val="20"/>
          <w:szCs w:val="20"/>
        </w:rPr>
        <w:t xml:space="preserve"> </w:t>
      </w:r>
      <w:proofErr w:type="spellStart"/>
      <w:r w:rsidRPr="00730BDF">
        <w:rPr>
          <w:sz w:val="20"/>
          <w:szCs w:val="20"/>
        </w:rPr>
        <w:t>Zardo</w:t>
      </w:r>
      <w:proofErr w:type="spellEnd"/>
      <w:r w:rsidRPr="00730BDF">
        <w:rPr>
          <w:sz w:val="20"/>
          <w:szCs w:val="20"/>
        </w:rPr>
        <w:t xml:space="preserve">, L. M. Z. (2019). Processos de </w:t>
      </w:r>
      <w:proofErr w:type="spellStart"/>
      <w:r w:rsidRPr="00730BDF">
        <w:rPr>
          <w:sz w:val="20"/>
          <w:szCs w:val="20"/>
        </w:rPr>
        <w:t>integração</w:t>
      </w:r>
      <w:proofErr w:type="spellEnd"/>
      <w:r w:rsidRPr="00730BDF">
        <w:rPr>
          <w:sz w:val="20"/>
          <w:szCs w:val="20"/>
        </w:rPr>
        <w:t xml:space="preserve"> e cidadania regional no MERCOSUL. </w:t>
      </w:r>
      <w:r w:rsidRPr="00730BDF">
        <w:rPr>
          <w:i/>
          <w:iCs/>
          <w:sz w:val="20"/>
          <w:szCs w:val="20"/>
        </w:rPr>
        <w:t xml:space="preserve">Revista MERCOSUR de </w:t>
      </w:r>
      <w:proofErr w:type="spellStart"/>
      <w:r w:rsidRPr="00730BDF">
        <w:rPr>
          <w:i/>
          <w:iCs/>
          <w:sz w:val="20"/>
          <w:szCs w:val="20"/>
        </w:rPr>
        <w:t>políticas</w:t>
      </w:r>
      <w:proofErr w:type="spellEnd"/>
      <w:r w:rsidRPr="00730BDF">
        <w:rPr>
          <w:i/>
          <w:iCs/>
          <w:sz w:val="20"/>
          <w:szCs w:val="20"/>
        </w:rPr>
        <w:t xml:space="preserve"> </w:t>
      </w:r>
      <w:proofErr w:type="spellStart"/>
      <w:r w:rsidRPr="00730BDF">
        <w:rPr>
          <w:i/>
          <w:iCs/>
          <w:sz w:val="20"/>
          <w:szCs w:val="20"/>
        </w:rPr>
        <w:t>sociales</w:t>
      </w:r>
      <w:proofErr w:type="spellEnd"/>
      <w:r w:rsidRPr="00730BDF">
        <w:rPr>
          <w:i/>
          <w:iCs/>
          <w:sz w:val="20"/>
          <w:szCs w:val="20"/>
        </w:rPr>
        <w:t>, 3</w:t>
      </w:r>
      <w:r w:rsidRPr="00730BDF">
        <w:rPr>
          <w:sz w:val="20"/>
          <w:szCs w:val="20"/>
        </w:rPr>
        <w:t xml:space="preserve">, 45-68. https://doi.org/10.28917/ ism.2019-v3-45 </w:t>
      </w:r>
    </w:p>
  </w:footnote>
  <w:footnote w:id="4">
    <w:p w:rsidR="00730BDF" w:rsidRPr="00730BDF" w:rsidRDefault="00730BDF" w:rsidP="00730BDF">
      <w:pPr>
        <w:pStyle w:val="western"/>
        <w:spacing w:line="240" w:lineRule="auto"/>
        <w:rPr>
          <w:sz w:val="20"/>
          <w:szCs w:val="20"/>
        </w:rPr>
      </w:pPr>
      <w:r>
        <w:rPr>
          <w:rStyle w:val="Refdenotaderodap"/>
        </w:rPr>
        <w:footnoteRef/>
      </w:r>
      <w:r>
        <w:t xml:space="preserve"> </w:t>
      </w:r>
      <w:r w:rsidRPr="00730BDF">
        <w:rPr>
          <w:sz w:val="20"/>
          <w:szCs w:val="20"/>
        </w:rPr>
        <w:t xml:space="preserve">Santana </w:t>
      </w:r>
      <w:proofErr w:type="spellStart"/>
      <w:r w:rsidRPr="00730BDF">
        <w:rPr>
          <w:sz w:val="20"/>
          <w:szCs w:val="20"/>
        </w:rPr>
        <w:t>Peña</w:t>
      </w:r>
      <w:proofErr w:type="spellEnd"/>
      <w:r w:rsidRPr="00730BDF">
        <w:rPr>
          <w:sz w:val="20"/>
          <w:szCs w:val="20"/>
        </w:rPr>
        <w:t xml:space="preserve">, I. A. (2017). </w:t>
      </w:r>
      <w:proofErr w:type="spellStart"/>
      <w:r w:rsidRPr="00730BDF">
        <w:rPr>
          <w:sz w:val="20"/>
          <w:szCs w:val="20"/>
        </w:rPr>
        <w:t>Ciudadanía</w:t>
      </w:r>
      <w:proofErr w:type="spellEnd"/>
      <w:r w:rsidRPr="00730BDF">
        <w:rPr>
          <w:sz w:val="20"/>
          <w:szCs w:val="20"/>
        </w:rPr>
        <w:t xml:space="preserve"> </w:t>
      </w:r>
      <w:proofErr w:type="spellStart"/>
      <w:r w:rsidRPr="00730BDF">
        <w:rPr>
          <w:sz w:val="20"/>
          <w:szCs w:val="20"/>
        </w:rPr>
        <w:t>del</w:t>
      </w:r>
      <w:proofErr w:type="spellEnd"/>
      <w:r w:rsidRPr="00730BDF">
        <w:rPr>
          <w:sz w:val="20"/>
          <w:szCs w:val="20"/>
        </w:rPr>
        <w:t xml:space="preserve"> MERCOSUR: avances </w:t>
      </w:r>
      <w:proofErr w:type="spellStart"/>
      <w:r w:rsidRPr="00730BDF">
        <w:rPr>
          <w:sz w:val="20"/>
          <w:szCs w:val="20"/>
        </w:rPr>
        <w:t>en</w:t>
      </w:r>
      <w:proofErr w:type="spellEnd"/>
      <w:r w:rsidRPr="00730BDF">
        <w:rPr>
          <w:sz w:val="20"/>
          <w:szCs w:val="20"/>
        </w:rPr>
        <w:t xml:space="preserve"> </w:t>
      </w:r>
      <w:proofErr w:type="spellStart"/>
      <w:r w:rsidRPr="00730BDF">
        <w:rPr>
          <w:sz w:val="20"/>
          <w:szCs w:val="20"/>
        </w:rPr>
        <w:t>su</w:t>
      </w:r>
      <w:proofErr w:type="spellEnd"/>
      <w:r w:rsidRPr="00730BDF">
        <w:rPr>
          <w:sz w:val="20"/>
          <w:szCs w:val="20"/>
        </w:rPr>
        <w:t xml:space="preserve"> </w:t>
      </w:r>
      <w:proofErr w:type="spellStart"/>
      <w:r w:rsidRPr="00730BDF">
        <w:rPr>
          <w:sz w:val="20"/>
          <w:szCs w:val="20"/>
        </w:rPr>
        <w:t>construcción</w:t>
      </w:r>
      <w:proofErr w:type="spellEnd"/>
      <w:r w:rsidRPr="00730BDF">
        <w:rPr>
          <w:sz w:val="20"/>
          <w:szCs w:val="20"/>
        </w:rPr>
        <w:t xml:space="preserve"> y </w:t>
      </w:r>
      <w:proofErr w:type="spellStart"/>
      <w:r w:rsidRPr="00730BDF">
        <w:rPr>
          <w:sz w:val="20"/>
          <w:szCs w:val="20"/>
        </w:rPr>
        <w:t>consolidación</w:t>
      </w:r>
      <w:proofErr w:type="spellEnd"/>
      <w:r w:rsidRPr="00730BDF">
        <w:rPr>
          <w:sz w:val="20"/>
          <w:szCs w:val="20"/>
        </w:rPr>
        <w:t xml:space="preserve">. </w:t>
      </w:r>
      <w:r w:rsidRPr="00730BDF">
        <w:rPr>
          <w:i/>
          <w:iCs/>
          <w:sz w:val="20"/>
          <w:szCs w:val="20"/>
        </w:rPr>
        <w:t xml:space="preserve">Revista MERCOSUR de </w:t>
      </w:r>
      <w:proofErr w:type="spellStart"/>
      <w:r w:rsidRPr="00730BDF">
        <w:rPr>
          <w:i/>
          <w:iCs/>
          <w:sz w:val="20"/>
          <w:szCs w:val="20"/>
        </w:rPr>
        <w:t>políticas</w:t>
      </w:r>
      <w:proofErr w:type="spellEnd"/>
      <w:r w:rsidRPr="00730BDF">
        <w:rPr>
          <w:i/>
          <w:iCs/>
          <w:sz w:val="20"/>
          <w:szCs w:val="20"/>
        </w:rPr>
        <w:t xml:space="preserve"> </w:t>
      </w:r>
      <w:proofErr w:type="spellStart"/>
      <w:r w:rsidRPr="00730BDF">
        <w:rPr>
          <w:i/>
          <w:iCs/>
          <w:sz w:val="20"/>
          <w:szCs w:val="20"/>
        </w:rPr>
        <w:t>sociales</w:t>
      </w:r>
      <w:proofErr w:type="spellEnd"/>
      <w:r w:rsidRPr="00730BDF">
        <w:rPr>
          <w:i/>
          <w:iCs/>
          <w:sz w:val="20"/>
          <w:szCs w:val="20"/>
        </w:rPr>
        <w:t>, 1</w:t>
      </w:r>
      <w:r w:rsidRPr="00730BDF">
        <w:rPr>
          <w:sz w:val="20"/>
          <w:szCs w:val="20"/>
        </w:rPr>
        <w:t>, 13-34.</w:t>
      </w:r>
      <w:r w:rsidRPr="00730BDF">
        <w:rPr>
          <w:sz w:val="20"/>
          <w:szCs w:val="20"/>
        </w:rPr>
        <w:br/>
      </w:r>
      <w:proofErr w:type="spellStart"/>
      <w:r w:rsidRPr="00730BDF">
        <w:rPr>
          <w:sz w:val="20"/>
          <w:szCs w:val="20"/>
        </w:rPr>
        <w:t>doi</w:t>
      </w:r>
      <w:proofErr w:type="spellEnd"/>
      <w:r w:rsidRPr="00730BDF">
        <w:rPr>
          <w:sz w:val="20"/>
          <w:szCs w:val="20"/>
        </w:rPr>
        <w:t>: 10.28917/ism.2017-v1-</w:t>
      </w:r>
    </w:p>
  </w:footnote>
  <w:footnote w:id="5">
    <w:p w:rsidR="00730BDF" w:rsidRDefault="00730BDF" w:rsidP="00730BDF">
      <w:pPr>
        <w:pStyle w:val="western"/>
        <w:spacing w:line="240" w:lineRule="auto"/>
      </w:pPr>
      <w:r>
        <w:rPr>
          <w:rStyle w:val="Refdenotaderodap"/>
        </w:rPr>
        <w:footnoteRef/>
      </w:r>
      <w:r>
        <w:t xml:space="preserve"> </w:t>
      </w:r>
      <w:r w:rsidRPr="00730BDF">
        <w:rPr>
          <w:sz w:val="20"/>
          <w:szCs w:val="20"/>
        </w:rPr>
        <w:t xml:space="preserve">Comissão Interamericana de Direitos Humanos [CIDH] (2020). Resolução n. 01/2020: Pandemia e Direitos Humanos nas Américas. </w:t>
      </w:r>
      <w:r w:rsidRPr="00730BDF">
        <w:rPr>
          <w:i/>
          <w:iCs/>
          <w:sz w:val="20"/>
          <w:szCs w:val="20"/>
        </w:rPr>
        <w:t>Organização dos Estados Americanos [OEA].</w:t>
      </w:r>
      <w:r w:rsidRPr="00730BDF">
        <w:rPr>
          <w:sz w:val="20"/>
          <w:szCs w:val="20"/>
        </w:rPr>
        <w:t xml:space="preserve"> Recuperada de https://www.oas.org/pt/cidh/decisiones/pdf/Resolucao-1-20-pt.pdf</w:t>
      </w:r>
    </w:p>
  </w:footnote>
  <w:footnote w:id="6">
    <w:p w:rsidR="00730BDF" w:rsidRPr="00730BDF" w:rsidRDefault="00730BDF" w:rsidP="00730BDF">
      <w:pPr>
        <w:pStyle w:val="western"/>
        <w:spacing w:line="240" w:lineRule="auto"/>
        <w:rPr>
          <w:sz w:val="20"/>
          <w:szCs w:val="20"/>
        </w:rPr>
      </w:pPr>
      <w:r>
        <w:rPr>
          <w:rStyle w:val="Refdenotaderodap"/>
        </w:rPr>
        <w:footnoteRef/>
      </w:r>
      <w:r>
        <w:t xml:space="preserve"> </w:t>
      </w:r>
      <w:proofErr w:type="spellStart"/>
      <w:r w:rsidRPr="00730BDF">
        <w:rPr>
          <w:sz w:val="20"/>
          <w:szCs w:val="20"/>
        </w:rPr>
        <w:t>Villamar</w:t>
      </w:r>
      <w:proofErr w:type="spellEnd"/>
      <w:r w:rsidRPr="00730BDF">
        <w:rPr>
          <w:sz w:val="20"/>
          <w:szCs w:val="20"/>
        </w:rPr>
        <w:t xml:space="preserve">, M. C. V. (2018). Regionalismos e </w:t>
      </w:r>
      <w:proofErr w:type="spellStart"/>
      <w:r w:rsidRPr="00730BDF">
        <w:rPr>
          <w:sz w:val="20"/>
          <w:szCs w:val="20"/>
        </w:rPr>
        <w:t>Migrações</w:t>
      </w:r>
      <w:proofErr w:type="spellEnd"/>
      <w:r w:rsidRPr="00730BDF">
        <w:rPr>
          <w:sz w:val="20"/>
          <w:szCs w:val="20"/>
        </w:rPr>
        <w:t xml:space="preserve"> Internacionais na </w:t>
      </w:r>
      <w:proofErr w:type="spellStart"/>
      <w:r w:rsidRPr="00730BDF">
        <w:rPr>
          <w:sz w:val="20"/>
          <w:szCs w:val="20"/>
        </w:rPr>
        <w:t>América</w:t>
      </w:r>
      <w:proofErr w:type="spellEnd"/>
      <w:r w:rsidRPr="00730BDF">
        <w:rPr>
          <w:sz w:val="20"/>
          <w:szCs w:val="20"/>
        </w:rPr>
        <w:t xml:space="preserve"> do Sul: Contexto e Perspectivas Futuras sobre as </w:t>
      </w:r>
      <w:proofErr w:type="spellStart"/>
      <w:r w:rsidRPr="00730BDF">
        <w:rPr>
          <w:sz w:val="20"/>
          <w:szCs w:val="20"/>
        </w:rPr>
        <w:t>Experiências</w:t>
      </w:r>
      <w:proofErr w:type="spellEnd"/>
      <w:r w:rsidRPr="00730BDF">
        <w:rPr>
          <w:sz w:val="20"/>
          <w:szCs w:val="20"/>
        </w:rPr>
        <w:t xml:space="preserve"> na Comunidade Andina, no Mercosul e na </w:t>
      </w:r>
      <w:proofErr w:type="spellStart"/>
      <w:r w:rsidRPr="00730BDF">
        <w:rPr>
          <w:sz w:val="20"/>
          <w:szCs w:val="20"/>
        </w:rPr>
        <w:t>Unasul</w:t>
      </w:r>
      <w:proofErr w:type="spellEnd"/>
      <w:r w:rsidRPr="00730BDF">
        <w:rPr>
          <w:sz w:val="20"/>
          <w:szCs w:val="20"/>
        </w:rPr>
        <w:t xml:space="preserve">. </w:t>
      </w:r>
      <w:r w:rsidRPr="00730BDF">
        <w:rPr>
          <w:i/>
          <w:iCs/>
          <w:sz w:val="20"/>
          <w:szCs w:val="20"/>
        </w:rPr>
        <w:t xml:space="preserve">Espaço Aberto, 2, </w:t>
      </w:r>
      <w:r w:rsidRPr="00730BDF">
        <w:rPr>
          <w:sz w:val="20"/>
          <w:szCs w:val="20"/>
        </w:rPr>
        <w:t>131-148. Recuperado de https://revistas.ufrj.br/index.php/EspacoAberto/article/view/20197/12582</w:t>
      </w:r>
    </w:p>
    <w:p w:rsidR="00730BDF" w:rsidRDefault="00730BDF">
      <w:pPr>
        <w:pStyle w:val="Textodenotaderodap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removePersonalInformation/>
  <w:removeDateAndTime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5224"/>
    <w:rsid w:val="00330E97"/>
    <w:rsid w:val="004C1B00"/>
    <w:rsid w:val="004C26F3"/>
    <w:rsid w:val="00730BDF"/>
    <w:rsid w:val="008C3433"/>
    <w:rsid w:val="009A70D1"/>
    <w:rsid w:val="00C25224"/>
    <w:rsid w:val="00C961FE"/>
    <w:rsid w:val="00DA3B84"/>
    <w:rsid w:val="00E625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pt-B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western">
    <w:name w:val="western"/>
    <w:basedOn w:val="Normal"/>
    <w:rsid w:val="00C25224"/>
    <w:pPr>
      <w:spacing w:before="100" w:beforeAutospacing="1" w:after="142" w:line="276" w:lineRule="auto"/>
    </w:pPr>
    <w:rPr>
      <w:rFonts w:ascii="Times New Roman" w:eastAsia="Times New Roman" w:hAnsi="Times New Roman" w:cs="Times New Roman"/>
      <w:color w:val="000000"/>
      <w:lang w:eastAsia="pt-BR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730BDF"/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730BDF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730BD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020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15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1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4</Pages>
  <Words>1236</Words>
  <Characters>6679</Characters>
  <Application>Microsoft Office Word</Application>
  <DocSecurity>0</DocSecurity>
  <Lines>55</Lines>
  <Paragraphs>15</Paragraphs>
  <ScaleCrop>false</ScaleCrop>
  <Company/>
  <LinksUpToDate>false</LinksUpToDate>
  <CharactersWithSpaces>7900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5</cp:revision>
  <dcterms:created xsi:type="dcterms:W3CDTF">2020-09-15T22:30:00Z</dcterms:created>
  <dcterms:modified xsi:type="dcterms:W3CDTF">2020-09-15T23:15:00Z</dcterms:modified>
</cp:coreProperties>
</file>